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17.png" ContentType="image/png"/>
  <Override PartName="/word/media/rId24.png" ContentType="image/png"/>
  <Override PartName="/word/media/rId29.png" ContentType="image/png"/>
  <Override PartName="/word/media/rId32.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each certifying accountant’s signature as the mark of an individual act of endorsement, yet once reports are produced and stored digitally a saved image of that signature can be pasted onto many reports instead — by manual stamping or by an automated signing system — producing what we term non-hand-signed signatures. The signer is genuine; the open question is whether an act of signing occurred for each report, and at archive scale this question carries no ground-truth labels. We present a label-free screening system for it and apply it to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reflecting style and a perceptual-hash (dHash) distance reflecting pixel-level structure, on the logic that a consistent hand keeps style high while structure varies, whereas a reused image keeps both extreme. Because the archive has no labels and the data contain no natural gap (a unimodality test gives median p = 0.35 once firm effects and the hash’s integer steps are removed), no cutoff can be learned; instead we calibrate a five-way rule by how often it fires by chance between unrelated accountants in a clean reference group (the non-Firm-A firms, 2013–2019), where the strict high-confidence rule fires on about 1.2% of reports and a looser advisory band on about 17.5%. Held out from calibration as a known-positive benchmark — one firm independently described by interviews as a stamping firm, making this a confirmatory check rather than a blinded test — that firm fires the strict rule on 82% of its own signatures against 24–35% at the others, while its cross-firm rate sits at the clean floor, so the signal is entirely within the firm; the contrast survives stratification by comparison-pool size and resampling clustered at the accountant level, and 262 byte-identical signatures are direct evidence of reuse. Operationally, the screen locates where reuse concentrates without being told where to look and confines human review to exceptions. We are deliberate about what is and is not claimed: we report a between-accountant specificity proxy, not a true error rate — the within-accountant false-positive rate the question would require is not estimable without labels, and our coincidence rate is not even a bound on it — we cannot separate signing practice from a firm’s imaging pipeline, and we label no single signature. Calibrated on a large Chinese-signature corpus with script-agnostic descriptors, the rule serves as an operator-set reference point for comparable Chinese-signature pipelines.</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To fix the term operationally before any method is introduced: a signature is</w:t>
      </w:r>
      <w:r>
        <w:t xml:space="preserve"> </w:t>
      </w:r>
      <w:r>
        <w:rPr>
          <w:i/>
          <w:iCs/>
        </w:rPr>
        <w:t xml:space="preserve">non-hand-signed</w:t>
      </w:r>
      <w:r>
        <w:t xml:space="preserve"> </w:t>
      </w:r>
      <w:r>
        <w:t xml:space="preserve">when the mark on the report is a reproduction of a stored signature image rather than a fresh signing act for that engagement. This spans manual overlay (stamping), automated firm-wide e-signing that pastes a saved image, and proxy application of a stored image by another person. It excludes a freshly handwritten signature or a hand-applied seal made for that specific report (the in-scope</w:t>
      </w:r>
      <w:r>
        <w:t xml:space="preserve"> </w:t>
      </w:r>
      <w:r>
        <w:t xml:space="preserve">“hand-signed”</w:t>
      </w:r>
      <w:r>
        <w:t xml:space="preserve"> </w:t>
      </w:r>
      <w:r>
        <w:t xml:space="preserve">case), and it is distinct from a cryptographic digital signature, which binds a document mathematically rather than reproducing an image. The criterion is therefore the visible outcome — image reuse, the same stored image recurring across reports — not the intent, the actor, or the legal status, and it is this outcome that our two measures and five categories track. The worry is not about legality; it is about meaning. A single image pasted onto hundreds of reports may not carry the individual endorsement the rule assumes — a concern the literature on signatures connects to behavior,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Section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(Section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a</w:t>
      </w:r>
      <w:r>
        <w:t xml:space="preserve"> </w:t>
      </w:r>
      <w:r>
        <w:rPr>
          <w:i/>
          <w:iCs/>
        </w:rPr>
        <w:t xml:space="preserve">between-accountant</w:t>
      </w:r>
      <w:r>
        <w:t xml:space="preserve"> </w:t>
      </w:r>
      <w:r>
        <w:t xml:space="preserve">coincidence rate, which we treat as a proxy for the rule’s specificity: it gives us a principled way to choose an operating point, and — just as important — it tells us what each category’s flag is worth among unrelated accountants. It is not the within-accountant false-positive rate (how often a genuine consistent hand-signer would fire the rule), which the reuse question would ideally use but which no labels let us estimate (Section III-E).</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Section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(Section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(Section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risk strata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proxy — that practitioners working with comparable Chinese-signature image pipelines can use as a starting reference (not transplant unchanged, since the proxy is conditional on a similar preprocessing and reference-group setup),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benchmark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(Section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behavior is unknown. (The statistical tools we use to test for a natural cutoff and to describe the rule once we find none are introduced where they are used, in Section III and Section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labeled validation with a chance-rate measured in a clean reference group, together with the pipeline and dual descriptor that make the screening possible (contributions listed in Section I).</w:t>
      </w:r>
    </w:p>
    <w:p>
      <w:pPr>
        <w:pStyle w:val="BodyText"/>
      </w:pPr>
      <w:r>
        <w:t xml:space="preserve">It is worth being explicit about a design choice this implies, because it is easily mistaken for a missing component. A natural reflex would be to learn the discriminator — to fine-tune a Siamese or contrastive network to separate reused from hand-signed signatures. We deliberately do not, and the reason is not expedience but the defining constraint of the setting: supervised metric learning requires labeled pairs (genuine-vs-reused), which is exactly the ground truth the archive does not contain. Training such a network would require either fabricating labels or importing them from a different distribution (e.g., forgery datasets), reintroducing the unverifiable assumptions our calibration is designed to avoid; the resulting boundary would again have unknown error behavior on the real archive. Label-free operation is therefore not a weaker version of a supervised method but the only honest option when no labels exist, and the contribution is correspondingly methodological — a way to set and</w:t>
      </w:r>
      <w:r>
        <w:t xml:space="preserve"> </w:t>
      </w:r>
      <w:r>
        <w:rPr>
          <w:i/>
          <w:iCs/>
        </w:rPr>
        <w:t xml:space="preserve">characterize</w:t>
      </w:r>
      <w:r>
        <w:t xml:space="preserve"> </w:t>
      </w:r>
      <w:r>
        <w:t xml:space="preserve">an operating point by measured chance behavior — rather than a new network architecture. Off-the-shelf pretrained features are used precisely because they introduce no task-specific supervision; supervised fine-tuning is the right tool once a labeled sample exists, which is why we frame the review protocol’s first run (Section IV-B, Section V) as the route to that sample and to any future supervised validation.</w:t>
      </w:r>
    </w:p>
    <w:bookmarkEnd w:id="11"/>
    <w:bookmarkStart w:id="23"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Section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Section IV-C, but they do not tell us the status of any single signature. A further caution applies to how the interviews are used as corroboration. They are self-reported, anonymized, and not independently reproducible, so when the screen’s firm-level output agrees with them (Section IV-C) that agreement is evidence of consistency with domain knowledge, not a measurement of the screen’s accuracy or recall — quantifying those would require signature-level labels, which the archive does not provide.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(Section III-E) is that, in the pre-2020 baseline firms, different accountants did not share a common template — not that every signature was handwritten.</w:t>
      </w:r>
    </w:p>
    <w:bookmarkEnd w:id="12"/>
    <w:bookmarkStart w:id="16"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Section III-C. To be precise about the headline denominator, since it recurs throughout: the primary analysis sample is the four-firm (Big-4) set, and</w:t>
      </w:r>
      <w:r>
        <w:t xml:space="preserve"> </w:t>
      </w:r>
      <w:r>
        <w:t xml:space="preserve">“150,442 analyzable signatures”</w:t>
      </w:r>
      <w:r>
        <w:t xml:space="preserve"> </w:t>
      </w:r>
      <w:r>
        <w:t xml:space="preserve">means exactly those signatures that are valid and have both similarity measures computed (Firm A 60,448, plus 38,993 / 34,248 / 16,752 at the other three). Non-Big-4 firms enter only in the crossover-scope robustness check (Section V-C), never in the calibration or the headline rates. We then split the Big-4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benchmark 1: Firm A, 2013–2023 (a known positive, not a blinded test).</w:t>
      </w:r>
    </w:p>
    <w:p>
      <w:pPr>
        <w:pStyle w:val="Compact"/>
        <w:numPr>
          <w:ilvl w:val="0"/>
          <w:numId w:val="1002"/>
        </w:numPr>
      </w:pPr>
      <w:r>
        <w:t xml:space="preserve">Held-out test 2 (secondary): Firms B/C/D, 2020–2023.</w:t>
      </w:r>
    </w:p>
    <w:p>
      <w:pPr>
        <w:pStyle w:val="FirstParagraph"/>
      </w:pPr>
      <w:r>
        <w:t xml:space="preserve">We explain the reason for each part in Section III-E. The key idea is simple: we calibrate only on the clean cell — the non-Firm-A firms in the years before formal systems — and test everything else against it. No numbers appear here; the calibration results start in Section IV-A.</w:t>
      </w:r>
    </w:p>
    <w:p>
      <w:pPr>
        <w:pStyle w:val="CaptionedFigure"/>
      </w:pPr>
      <w:r>
        <w:drawing>
          <wp:inline>
            <wp:extent cx="5334000" cy="2380973"/>
            <wp:effectExtent b="0" l="0" r="0" t="0"/>
            <wp:docPr descr="Figure 1" title="" id="14" name="Picture"/>
            <a:graphic>
              <a:graphicData uri="http://schemas.openxmlformats.org/drawingml/2006/picture">
                <pic:pic>
                  <pic:nvPicPr>
                    <pic:cNvPr descr="figures/fig1.png" id="15" name="Picture"/>
                    <pic:cNvPicPr>
                      <a:picLocks noChangeArrowheads="1" noChangeAspect="1"/>
                    </pic:cNvPicPr>
                  </pic:nvPicPr>
                  <pic:blipFill>
                    <a:blip r:embed="rId13"/>
                    <a:stretch>
                      <a:fillRect/>
                    </a:stretch>
                  </pic:blipFill>
                  <pic:spPr bwMode="auto">
                    <a:xfrm>
                      <a:off x="0" y="0"/>
                      <a:ext cx="5334000" cy="2380973"/>
                    </a:xfrm>
                    <a:prstGeom prst="rect">
                      <a:avLst/>
                    </a:prstGeom>
                    <a:noFill/>
                    <a:ln w="9525">
                      <a:noFill/>
                      <a:headEnd/>
                      <a:tailEnd/>
                    </a:ln>
                  </pic:spPr>
                </pic:pic>
              </a:graphicData>
            </a:graphic>
          </wp:inline>
        </w:drawing>
      </w:r>
    </w:p>
    <w:p>
      <w:pPr>
        <w:pStyle w:val="ImageCaption"/>
      </w:pPr>
      <w:r>
        <w:t xml:space="preserve">Figure 1</w:t>
      </w:r>
    </w:p>
    <w:p>
      <w:pPr>
        <w:pStyle w:val="BodyText"/>
      </w:pPr>
      <w:r>
        <w:rPr>
          <w:i/>
          <w:iCs/>
        </w:rPr>
        <w:t xml:space="preserve">Figure 1. The data split. Rows are Firms A–D; columns are 2013–2019 and 2020–2023. The B/C/D × 2013–2019 cells are the clean calibration group; Firm A (both periods) is held-out benchmark 1 (a known positive); B/C/D × 2020–2023 is the secondary held-out test. We calibrate only on the clean cell and test everything else against it.</w:t>
      </w:r>
    </w:p>
    <w:bookmarkEnd w:id="16"/>
    <w:bookmarkStart w:id="20" w:name="c.-pipeline"/>
    <w:p>
      <w:pPr>
        <w:pStyle w:val="Heading3"/>
      </w:pPr>
      <w:r>
        <w:t xml:space="preserve">C. Pipeline</w:t>
      </w:r>
    </w:p>
    <w:p>
      <w:pPr>
        <w:pStyle w:val="FirstParagraph"/>
      </w:pPr>
      <w:r>
        <w:t xml:space="preserve">The pipeline turns a raw PDF report into labeled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Section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Section IV-A.)</w:t>
      </w:r>
    </w:p>
    <w:p>
      <w:pPr>
        <w:pStyle w:val="CaptionedFigure"/>
      </w:pPr>
      <w:r>
        <w:drawing>
          <wp:inline>
            <wp:extent cx="5334000" cy="1595736"/>
            <wp:effectExtent b="0" l="0" r="0" t="0"/>
            <wp:docPr descr="Figure 2" title="" id="18" name="Picture"/>
            <a:graphic>
              <a:graphicData uri="http://schemas.openxmlformats.org/drawingml/2006/picture">
                <pic:pic>
                  <pic:nvPicPr>
                    <pic:cNvPr descr="figures/fig2.png" id="19" name="Picture"/>
                    <pic:cNvPicPr>
                      <a:picLocks noChangeArrowheads="1" noChangeAspect="1"/>
                    </pic:cNvPicPr>
                  </pic:nvPicPr>
                  <pic:blipFill>
                    <a:blip r:embed="rId17"/>
                    <a:stretch>
                      <a:fillRect/>
                    </a:stretch>
                  </pic:blipFill>
                  <pic:spPr bwMode="auto">
                    <a:xfrm>
                      <a:off x="0" y="0"/>
                      <a:ext cx="5334000" cy="1595736"/>
                    </a:xfrm>
                    <a:prstGeom prst="rect">
                      <a:avLst/>
                    </a:prstGeom>
                    <a:noFill/>
                    <a:ln w="9525">
                      <a:noFill/>
                      <a:headEnd/>
                      <a:tailEnd/>
                    </a:ln>
                  </pic:spPr>
                </pic:pic>
              </a:graphicData>
            </a:graphic>
          </wp:inline>
        </w:drawing>
      </w:r>
    </w:p>
    <w:p>
      <w:pPr>
        <w:pStyle w:val="ImageCaption"/>
      </w:pPr>
      <w:r>
        <w:t xml:space="preserve">Figure 2</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20"/>
    <w:bookmarkStart w:id="21"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Section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 Table I-a summarizes the five categories, the thresholds that define them, and the notation used throughout; the high cut is cosine 0.95, the low cut is 0.8547 (the same-vs-different-accountant crossover; Section IV-A), and the two structural cuts are dHash 5 and 15.</w:t>
      </w:r>
    </w:p>
    <w:p>
      <w:pPr>
        <w:pStyle w:val="BodyText"/>
      </w:pPr>
      <w:r>
        <w:rPr>
          <w:b/>
          <w:bCs/>
        </w:rPr>
        <w:t xml:space="preserve">Table I-a — Category definitions, thresholds, and notation.</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Label</w:t>
            </w:r>
          </w:p>
        </w:tc>
        <w:tc>
          <w:tcPr/>
          <w:p>
            <w:pPr>
              <w:pStyle w:val="Compact"/>
            </w:pPr>
            <w:r>
              <w:t xml:space="preserve">Name</w:t>
            </w:r>
          </w:p>
        </w:tc>
        <w:tc>
          <w:tcPr/>
          <w:p>
            <w:pPr>
              <w:pStyle w:val="Compact"/>
            </w:pPr>
            <w:r>
              <w:t xml:space="preserve">Condition (cosine</w:t>
            </w:r>
            <w:r>
              <w:t xml:space="preserve"> </w:t>
            </w:r>
            <w:r>
              <w:rPr>
                <w:i/>
                <w:iCs/>
              </w:rPr>
              <w:t xml:space="preserve">c</w:t>
            </w:r>
            <w:r>
              <w:t xml:space="preserve">, structure dHash</w:t>
            </w:r>
            <w:r>
              <w:t xml:space="preserve"> </w:t>
            </w:r>
            <w:r>
              <w:rPr>
                <w:i/>
                <w:iCs/>
              </w:rPr>
              <w:t xml:space="preserve">d</w:t>
            </w:r>
            <w:r>
              <w:t xml:space="preserve">)</w:t>
            </w:r>
          </w:p>
        </w:tc>
        <w:tc>
          <w:tcPr/>
          <w:p>
            <w:pPr>
              <w:pStyle w:val="Compact"/>
            </w:pPr>
            <w:r>
              <w:t xml:space="preserve">Role</w:t>
            </w:r>
          </w:p>
        </w:tc>
      </w:tr>
      <w:tr>
        <w:tc>
          <w:tcPr/>
          <w:p>
            <w:pPr>
              <w:pStyle w:val="Compact"/>
            </w:pPr>
            <w:r>
              <w:t xml:space="preserve">HC</w:t>
            </w:r>
          </w:p>
        </w:tc>
        <w:tc>
          <w:tcPr/>
          <w:p>
            <w:pPr>
              <w:pStyle w:val="Compact"/>
            </w:pPr>
            <w:r>
              <w:t xml:space="preserve">high-confidence reuse candidate</w:t>
            </w:r>
          </w:p>
        </w:tc>
        <w:tc>
          <w:tcPr/>
          <w:p>
            <w:pPr>
              <w:pStyle w:val="Compact"/>
            </w:pPr>
            <w:r>
              <w:rPr>
                <w:i/>
                <w:iCs/>
              </w:rPr>
              <w:t xml:space="preserve">c</w:t>
            </w:r>
            <w:r>
              <w:t xml:space="preserve"> </w:t>
            </w:r>
            <w:r>
              <w:t xml:space="preserve">&gt; 0.95 and</w:t>
            </w:r>
            <w:r>
              <w:t xml:space="preserve"> </w:t>
            </w:r>
            <w:r>
              <w:rPr>
                <w:i/>
                <w:iCs/>
              </w:rPr>
              <w:t xml:space="preserve">d</w:t>
            </w:r>
            <w:r>
              <w:t xml:space="preserve"> </w:t>
            </w:r>
            <w:r>
              <w:t xml:space="preserve">≤ 5</w:t>
            </w:r>
          </w:p>
        </w:tc>
        <w:tc>
          <w:tcPr/>
          <w:p>
            <w:pPr>
              <w:pStyle w:val="Compact"/>
            </w:pPr>
            <w:r>
              <w:t xml:space="preserve">self-certifying flag</w:t>
            </w:r>
          </w:p>
        </w:tc>
      </w:tr>
      <w:tr>
        <w:tc>
          <w:tcPr/>
          <w:p>
            <w:pPr>
              <w:pStyle w:val="Compact"/>
            </w:pPr>
            <w:r>
              <w:t xml:space="preserve">MC</w:t>
            </w:r>
          </w:p>
        </w:tc>
        <w:tc>
          <w:tcPr/>
          <w:p>
            <w:pPr>
              <w:pStyle w:val="Compact"/>
            </w:pPr>
            <w:r>
              <w:t xml:space="preserve">moderate-confidence</w:t>
            </w:r>
          </w:p>
        </w:tc>
        <w:tc>
          <w:tcPr/>
          <w:p>
            <w:pPr>
              <w:pStyle w:val="Compact"/>
            </w:pPr>
            <w:r>
              <w:rPr>
                <w:i/>
                <w:iCs/>
              </w:rPr>
              <w:t xml:space="preserve">c</w:t>
            </w:r>
            <w:r>
              <w:t xml:space="preserve"> </w:t>
            </w:r>
            <w:r>
              <w:t xml:space="preserve">&gt; 0.95 and 5 &lt;</w:t>
            </w:r>
            <w:r>
              <w:t xml:space="preserve"> </w:t>
            </w:r>
            <w:r>
              <w:rPr>
                <w:i/>
                <w:iCs/>
              </w:rPr>
              <w:t xml:space="preserve">d</w:t>
            </w:r>
            <w:r>
              <w:t xml:space="preserve"> </w:t>
            </w:r>
            <w:r>
              <w:t xml:space="preserve">≤ 15</w:t>
            </w:r>
          </w:p>
        </w:tc>
        <w:tc>
          <w:tcPr/>
          <w:p>
            <w:pPr>
              <w:pStyle w:val="Compact"/>
            </w:pPr>
            <w:r>
              <w:t xml:space="preserve">advisory</w:t>
            </w:r>
          </w:p>
        </w:tc>
      </w:tr>
      <w:tr>
        <w:tc>
          <w:tcPr/>
          <w:p>
            <w:pPr>
              <w:pStyle w:val="Compact"/>
            </w:pPr>
            <w:r>
              <w:t xml:space="preserve">HSC</w:t>
            </w:r>
          </w:p>
        </w:tc>
        <w:tc>
          <w:tcPr/>
          <w:p>
            <w:pPr>
              <w:pStyle w:val="Compact"/>
            </w:pPr>
            <w:r>
              <w:t xml:space="preserve">high style-consistency</w:t>
            </w:r>
          </w:p>
        </w:tc>
        <w:tc>
          <w:tcPr/>
          <w:p>
            <w:pPr>
              <w:pStyle w:val="Compact"/>
            </w:pPr>
            <w:r>
              <w:rPr>
                <w:i/>
                <w:iCs/>
              </w:rPr>
              <w:t xml:space="preserve">c</w:t>
            </w:r>
            <w:r>
              <w:t xml:space="preserve"> </w:t>
            </w:r>
            <w:r>
              <w:t xml:space="preserve">&gt; 0.95 and</w:t>
            </w:r>
            <w:r>
              <w:t xml:space="preserve"> </w:t>
            </w:r>
            <w:r>
              <w:rPr>
                <w:i/>
                <w:iCs/>
              </w:rPr>
              <w:t xml:space="preserve">d</w:t>
            </w:r>
            <w:r>
              <w:t xml:space="preserve"> </w:t>
            </w:r>
            <w:r>
              <w:t xml:space="preserve">&gt; 15</w:t>
            </w:r>
          </w:p>
        </w:tc>
        <w:tc>
          <w:tcPr/>
          <w:p>
            <w:pPr>
              <w:pStyle w:val="Compact"/>
            </w:pPr>
            <w:r>
              <w:t xml:space="preserve">no structural support; no weight</w:t>
            </w:r>
          </w:p>
        </w:tc>
      </w:tr>
      <w:tr>
        <w:tc>
          <w:tcPr/>
          <w:p>
            <w:pPr>
              <w:pStyle w:val="Compact"/>
            </w:pPr>
            <w:r>
              <w:t xml:space="preserve">UN</w:t>
            </w:r>
          </w:p>
        </w:tc>
        <w:tc>
          <w:tcPr/>
          <w:p>
            <w:pPr>
              <w:pStyle w:val="Compact"/>
            </w:pPr>
            <w:r>
              <w:t xml:space="preserve">uncertain</w:t>
            </w:r>
          </w:p>
        </w:tc>
        <w:tc>
          <w:tcPr/>
          <w:p>
            <w:pPr>
              <w:pStyle w:val="Compact"/>
            </w:pPr>
            <w:r>
              <w:t xml:space="preserve">0.8547 &lt;</w:t>
            </w:r>
            <w:r>
              <w:t xml:space="preserve"> </w:t>
            </w:r>
            <w:r>
              <w:rPr>
                <w:i/>
                <w:iCs/>
              </w:rPr>
              <w:t xml:space="preserve">c</w:t>
            </w:r>
            <w:r>
              <w:t xml:space="preserve"> </w:t>
            </w:r>
            <w:r>
              <w:t xml:space="preserve">≤ 0.95</w:t>
            </w:r>
          </w:p>
        </w:tc>
        <w:tc>
          <w:tcPr/>
          <w:p>
            <w:pPr>
              <w:pStyle w:val="Compact"/>
            </w:pPr>
            <w:r>
              <w:t xml:space="preserve">ambiguous middle</w:t>
            </w:r>
          </w:p>
        </w:tc>
      </w:tr>
      <w:tr>
        <w:tc>
          <w:tcPr/>
          <w:p>
            <w:pPr>
              <w:pStyle w:val="Compact"/>
            </w:pPr>
            <w:r>
              <w:t xml:space="preserve">LH</w:t>
            </w:r>
          </w:p>
        </w:tc>
        <w:tc>
          <w:tcPr/>
          <w:p>
            <w:pPr>
              <w:pStyle w:val="Compact"/>
            </w:pPr>
            <w:r>
              <w:t xml:space="preserve">low reuse-similarity</w:t>
            </w:r>
          </w:p>
        </w:tc>
        <w:tc>
          <w:tcPr/>
          <w:p>
            <w:pPr>
              <w:pStyle w:val="Compact"/>
            </w:pPr>
            <w:r>
              <w:rPr>
                <w:i/>
                <w:iCs/>
              </w:rPr>
              <w:t xml:space="preserve">c</w:t>
            </w:r>
            <w:r>
              <w:t xml:space="preserve"> </w:t>
            </w:r>
            <w:r>
              <w:t xml:space="preserve">≤ 0.8547</w:t>
            </w:r>
          </w:p>
        </w:tc>
        <w:tc>
          <w:tcPr/>
          <w:p>
            <w:pPr>
              <w:pStyle w:val="Compact"/>
            </w:pPr>
            <w:r>
              <w:t xml:space="preserve">likely hand-signed</w:t>
            </w:r>
          </w:p>
        </w:tc>
      </w:tr>
    </w:tbl>
    <w:p>
      <w:pPr>
        <w:pStyle w:val="BodyText"/>
      </w:pPr>
      <w:r>
        <w:t xml:space="preserve">Other abbreviations used throughout: ICCR — inter-CPA coincidence rate, the between-accountant chance-firing rate that calibrates the rule (Section III-E);</w:t>
      </w:r>
      <w:r>
        <w:t xml:space="preserve"> </w:t>
      </w:r>
      <w:r>
        <w:rPr>
          <w:i/>
          <w:iCs/>
        </w:rPr>
        <w:t xml:space="preserve">c</w:t>
      </w:r>
      <w:r>
        <w:t xml:space="preserve"> </w:t>
      </w:r>
      <w:r>
        <w:t xml:space="preserve">— cosine similarity to the same accountant’s other signatures (style);</w:t>
      </w:r>
      <w:r>
        <w:t xml:space="preserve"> </w:t>
      </w:r>
      <w:r>
        <w:rPr>
          <w:i/>
          <w:iCs/>
        </w:rPr>
        <w:t xml:space="preserve">d</w:t>
      </w:r>
      <w:r>
        <w:t xml:space="preserve"> </w:t>
      </w:r>
      <w:r>
        <w:t xml:space="preserve">— smallest dHash distance (structure).</w:t>
      </w:r>
    </w:p>
    <w:p>
      <w:pPr>
        <w:pStyle w:val="BodyText"/>
      </w:pPr>
      <w:r>
        <w:t xml:space="preserve">Why the partition has this shape (five categories, not nine). As explained in Section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(Section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Section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Section IV-B rather than through a separate cell. Third, a partition should cut only where the resulting actions differ: subdividing the two lower bands by structure would create cells whose dispositions (Section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(Section V-A) and no signature-level labels to learn one from, so the cuts are chosen and their specificity is measured, not learned. The four cut values, and where each one comes from — two are read directly from this study’s data — are given in Section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Section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(Section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The dial moves in only one direction: a reviewer who wants more conservatism can tighten it for higher specificity, but cannot trade in the other direction toward higher recall, because recall is unobservable without labels — there is no precision–recall frontier to navigate (Section V). (ii) The chance rate we report is a</w:t>
      </w:r>
      <w:r>
        <w:t xml:space="preserve"> </w:t>
      </w:r>
      <w:r>
        <w:rPr>
          <w:i/>
          <w:iCs/>
        </w:rPr>
        <w:t xml:space="preserve">between-accountant</w:t>
      </w:r>
      <w:r>
        <w:t xml:space="preserve"> </w:t>
      </w:r>
      <w:r>
        <w:t xml:space="preserve">coincidence rate — a proxy for specificity, not a true false-acceptance rate — because we have no labeled negatives; it speaks to how often unrelated accountants collide, not to how often a genuinely consistent hand-signer would fire the rule, which is the quantity the reuse question needs and which we cannot estimate (Section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21"/>
    <w:bookmarkStart w:id="22" w:name="X56bf00f22cc75e83937663e50b3b8f89ee236a1"/>
    <w:p>
      <w:pPr>
        <w:pStyle w:val="Heading3"/>
      </w:pPr>
      <w:r>
        <w:t xml:space="preserve">E. The Clean Reference Group and the Chance Rate</w:t>
      </w:r>
    </w:p>
    <w:p>
      <w:pPr>
        <w:pStyle w:val="FirstParagraph"/>
      </w:pPr>
      <w:r>
        <w:t xml:space="preserve">With no labeled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Section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Section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One further channel deserves to be named, because it is not the template and we cannot fully exclude it: accountants at the same firm pass through a shared imaging pipeline — common scanners, PDF-assembly software, and the red-stamp-removal step (Section III-C, Section V-B) — and a shared pipeline can imprint correlated artefacts on otherwise-unrelated signatures, which would lift the inter-CPA rate above true chance. The pipeline audit of Section V-B confirms that such shared production paths exist and change over time. This is a reason to read the ICCR as a</w:t>
      </w:r>
      <w:r>
        <w:t xml:space="preserve"> </w:t>
      </w:r>
      <w:r>
        <w:rPr>
          <w:i/>
          <w:iCs/>
        </w:rPr>
        <w:t xml:space="preserve">specificity proxy</w:t>
      </w:r>
      <w:r>
        <w:t xml:space="preserve"> </w:t>
      </w:r>
      <w:r>
        <w:t xml:space="preserve">rather than a literal coincidence rate; its bias, like reference contamination, runs toward a higher floor, which makes the Firm-A contrast more conservative rather than less. After 2020, formal systems standardize how reports are assembled, so that period is not a clean reference — and indeed the chance rate rises after 2020 (Section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labeled negatives. The ICCR is a</w:t>
      </w:r>
      <w:r>
        <w:t xml:space="preserve"> </w:t>
      </w:r>
      <w:r>
        <w:rPr>
          <w:i/>
          <w:iCs/>
        </w:rPr>
        <w:t xml:space="preserve">between-accountant</w:t>
      </w:r>
      <w:r>
        <w:t xml:space="preserve"> </w:t>
      </w:r>
      <w:r>
        <w:t xml:space="preserve">coincidence rate: how often the rule fires on the signatures of two</w:t>
      </w:r>
      <w:r>
        <w:t xml:space="preserve"> </w:t>
      </w:r>
      <w:r>
        <w:rPr>
          <w:i/>
          <w:iCs/>
        </w:rPr>
        <w:t xml:space="preserve">different</w:t>
      </w:r>
      <w:r>
        <w:t xml:space="preserve"> </w:t>
      </w:r>
      <w:r>
        <w:t xml:space="preserve">accountants. It is therefore at best a proxy for specificity, and only under the stated assumption (no shared template across accountants). It is important to be exact about what it is not. The quantity the reuse question actually needs is the</w:t>
      </w:r>
      <w:r>
        <w:t xml:space="preserve"> </w:t>
      </w:r>
      <w:r>
        <w:rPr>
          <w:i/>
          <w:iCs/>
        </w:rPr>
        <w:t xml:space="preserve">within-accountant</w:t>
      </w:r>
      <w:r>
        <w:t xml:space="preserve"> </w:t>
      </w:r>
      <w:r>
        <w:t xml:space="preserve">false-positive rate — how often the rule would fire on a genuinely consistent hand-signer’s own signatures — and that rate is not estimable here, because no accountant in the corpus is labeled as a known hand-signer. We considered benchmarking it against an external corpus of genuine repeated signatures (a public signature dataset supplies many authentic samples per writer), but such corpora are a different population and script acquired under a different pipeline, so the resulting rate would not transfer to this setting; importing it would reintroduce exactly the kind of unverifiable cross-distribution assumption our label-free calibration is built to avoid. We therefore report the limitation rather than a misleading proxy. The ICCR is not even a bound on it: a uniform individual hand keeps cosine high by design, so a true hand-signer’s within-accountant fire rate can sit far</w:t>
      </w:r>
      <w:r>
        <w:t xml:space="preserve"> </w:t>
      </w:r>
      <w:r>
        <w:rPr>
          <w:i/>
          <w:iCs/>
        </w:rPr>
        <w:t xml:space="preserve">above</w:t>
      </w:r>
      <w:r>
        <w:t xml:space="preserve"> </w:t>
      </w:r>
      <w:r>
        <w:t xml:space="preserve">the between-accountant coincidence rate. Any statement that divides a firm’s within-accountant fire rate by this between-accountant floor (an</w:t>
      </w:r>
      <w:r>
        <w:t xml:space="preserve"> </w:t>
      </w:r>
      <w:r>
        <w:t xml:space="preserve">“X× the floor”</w:t>
      </w:r>
      <w:r>
        <w:t xml:space="preserve"> </w:t>
      </w:r>
      <w:r>
        <w:t xml:space="preserve">comparison) therefore overstates the gap — the bias runs in the anti-conservative direction — and we do not report such ratios as effect sizes. Read as a between-accountant specificity proxy under the stated assumption, the ICCR is faithful to the evidence; read as a true error rate for the reuse question, it would claim more than we can show.</w:t>
      </w:r>
    </w:p>
    <w:p>
      <w:pPr>
        <w:pStyle w:val="BodyText"/>
      </w:pPr>
      <w:r>
        <w:t xml:space="preserve">One further assumption deserves to be stated rather than buried, because it concerns how the clean group was chosen. The floor is</w:t>
      </w:r>
      <w:r>
        <w:t xml:space="preserve"> </w:t>
      </w:r>
      <w:r>
        <w:rPr>
          <w:i/>
          <w:iCs/>
        </w:rPr>
        <w:t xml:space="preserve">conditional on the reference group actually being clean</w:t>
      </w:r>
      <w:r>
        <w:t xml:space="preserve"> </w:t>
      </w:r>
      <w:r>
        <w:t xml:space="preserve">— it is a coincidence rate among accountants we take to be independent hand-signers, and the group (non-Firm-A firms, pre-2020) was selected partly because its rates are low and its practices, by the interviews, are not stamping-dominated. That selection is mild but not innocent: if some baseline accountants in fact reuse images undetected, the reference is contaminated. The direction of that error, however, is reassuring for the Firm-A contrast. Undetected reuse inside the baseline would only</w:t>
      </w:r>
      <w:r>
        <w:t xml:space="preserve"> </w:t>
      </w:r>
      <w:r>
        <w:rPr>
          <w:i/>
          <w:iCs/>
        </w:rPr>
        <w:t xml:space="preserve">raise</w:t>
      </w:r>
      <w:r>
        <w:t xml:space="preserve"> </w:t>
      </w:r>
      <w:r>
        <w:t xml:space="preserve">the between-accountant coincidence floor, which makes Firm A’s gap above it</w:t>
      </w:r>
      <w:r>
        <w:t xml:space="preserve"> </w:t>
      </w:r>
      <w:r>
        <w:rPr>
          <w:i/>
          <w:iCs/>
        </w:rPr>
        <w:t xml:space="preserve">smaller</w:t>
      </w:r>
      <w:r>
        <w:t xml:space="preserve">, not larger — so contamination of the clean group biases the headline contrast conservatively, against our conclusion rather than toward it. Two pieces of evidence bound the concern empirically. First, the three baseline firms are mutually consistent and uniformly low (Firms B and C within about 3.5× of each other, none close to Firm A; Section IV-A), so the floor does not hinge on any single firm and a leave-one-baseline-firm-out reading does not move it materially. Second, the one data-derived threshold, the low cosine cut, is stable when the group composition is changed — 0.8547 on the calibration cell, 0.8302 with the non-Big-4 firms folded in, a shift of at most 0.025 (Section V-C) — so widening or narrowing the reference at its boundary does not move the operating point. We therefore treat the clean-group assumption as a stated limitation with a known-safe error direction, not as a hidden premise.</w:t>
      </w:r>
    </w:p>
    <w:bookmarkEnd w:id="22"/>
    <w:bookmarkEnd w:id="23"/>
    <w:bookmarkStart w:id="36"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benchmark on Firm A.</w:t>
      </w:r>
    </w:p>
    <w:bookmarkStart w:id="27"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(Section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of these, 168,740 have both similarity measures computed (the 15-signature difference is accountants with a single signature in the corpus, for whom no same-accountant comparison exists, so the full-corpus distributional statistics in the Appendix are reported on 168,740).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Section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Section IV-C). We use this closed-world value as the primary cut rather than the corpus-wide crossover, so that the one data-derived threshold in the rule is estimated only on the calibration-only Firms-B/C/D 2013–2019 cell, held out from Firm A and from post-2020 scoring. The cut is stable across scopes — 0.8547 (calibration closed-world), 0.8367 corpus-wide, 0.8489 on the all-period baseline firms, 0.8302 with the non-Big-4 firms added; it moves by at most 0.025 across all four scopes (0.018 from the corpus-wide value), so the choice of scope is immaterial and the broader-scope values stand as robustness checks (Section V-C). The high cosine cut, 0.95, is the high-similarity operating point: it sits in the region where genuine reuse concentrates — the byte-identical anchor (Section IV-C) lies at cosine 1 — and a recalibration cannot move it onto a distributional antimode because none exists (no within-population bimodality, Section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behavior directly (the full prior-calibration provenance is in the supplementary materials), and we make them operator-tunable in one direction: their specificity proxy at these values is read off the chance-rate calibration below, and an operator can tighten the floor by inverting the ICCR curve (for example, dHash ≤ 3). This is a conservativeness dial, not a precision–recall control: tightening raises the specificity proxy and lowers the flag count, but there is no observable recall to trade back, so loosening cannot be calibrated against a known cost. We deliver these as a concrete, calibrated operating point — in particular the high-confidence (HC) rule, cosine &gt; 0.95 and dHash ≤ 5 — whose between-accountant coincidence behavior the calibration below makes explicit. Because the rule is calibrated on a large Chinese-signature corpus, the HC values double as a practical starting reference for practitioners working with comparable Chinese-signature image pipelines, rather than a setting to transplant unchanged.</w:t>
      </w:r>
    </w:p>
    <w:p>
      <w:pPr>
        <w:pStyle w:val="CaptionedFigure"/>
      </w:pPr>
      <w:r>
        <w:drawing>
          <wp:inline>
            <wp:extent cx="4935003" cy="3933298"/>
            <wp:effectExtent b="0" l="0" r="0" t="0"/>
            <wp:docPr descr="Figure 3" title="" id="25" name="Picture"/>
            <a:graphic>
              <a:graphicData uri="http://schemas.openxmlformats.org/drawingml/2006/picture">
                <pic:pic>
                  <pic:nvPicPr>
                    <pic:cNvPr descr="figures/fig3.png" id="26" name="Picture"/>
                    <pic:cNvPicPr>
                      <a:picLocks noChangeArrowheads="1" noChangeAspect="1"/>
                    </pic:cNvPicPr>
                  </pic:nvPicPr>
                  <pic:blipFill>
                    <a:blip r:embed="rId24"/>
                    <a:stretch>
                      <a:fillRect/>
                    </a:stretch>
                  </pic:blipFill>
                  <pic:spPr bwMode="auto">
                    <a:xfrm>
                      <a:off x="0" y="0"/>
                      <a:ext cx="4935003" cy="3933298"/>
                    </a:xfrm>
                    <a:prstGeom prst="rect">
                      <a:avLst/>
                    </a:prstGeom>
                    <a:noFill/>
                    <a:ln w="9525">
                      <a:noFill/>
                      <a:headEnd/>
                      <a:tailEnd/>
                    </a:ln>
                  </pic:spPr>
                </pic:pic>
              </a:graphicData>
            </a:graphic>
          </wp:inline>
        </w:drawing>
      </w:r>
    </w:p>
    <w:p>
      <w:pPr>
        <w:pStyle w:val="ImageCaption"/>
      </w:pPr>
      <w:r>
        <w:t xml:space="preserve">Figure 3</w:t>
      </w:r>
    </w:p>
    <w:p>
      <w:pPr>
        <w:pStyle w:val="BodyText"/>
      </w:pPr>
      <w:r>
        <w:rPr>
          <w:i/>
          <w:iCs/>
        </w:rPr>
        <w:t xml:space="preserve">Figure 3. The two measures and the five regions, drawn as the real 2D density of all Big-4 signatures (n = 150,441; log color scale, integer dHash bins). The cosine axis is split at the low cut 0.8547 (the calibration-cell same-vs-different-accountant crossover) and the high cut 0.95; within the high-cosine band the dHash axis is split at 5 and 15. The mass concentrates in the bottom-right HC corner — high cosine with near-identical structure — and thins out as a single continuum toward lower cosine and higher dHash, with no gap separating a</w:t>
      </w:r>
      <w:r>
        <w:rPr>
          <w:i/>
          <w:iCs/>
        </w:rPr>
        <w:t xml:space="preserve"> </w:t>
      </w:r>
      <w:r>
        <w:rPr>
          <w:i/>
          <w:iCs/>
        </w:rPr>
        <w:t xml:space="preserve">“reuse”</w:t>
      </w:r>
      <w:r>
        <w:rPr>
          <w:i/>
          <w:iCs/>
        </w:rPr>
        <w:t xml:space="preserve"> </w:t>
      </w:r>
      <w:r>
        <w:rPr>
          <w:i/>
          <w:iCs/>
        </w:rPr>
        <w:t xml:space="preserve">cluster from a</w:t>
      </w:r>
      <w:r>
        <w:rPr>
          <w:i/>
          <w:iCs/>
        </w:rPr>
        <w:t xml:space="preserve"> </w:t>
      </w:r>
      <w:r>
        <w:rPr>
          <w:i/>
          <w:iCs/>
        </w:rPr>
        <w:t xml:space="preserve">“hand-signed”</w:t>
      </w:r>
      <w:r>
        <w:rPr>
          <w:i/>
          <w:iCs/>
        </w:rPr>
        <w:t xml:space="preserve"> </w:t>
      </w:r>
      <w:r>
        <w:rPr>
          <w:i/>
          <w:iCs/>
        </w:rPr>
        <w:t xml:space="preserve">one (Section V-A); note also that essentially all signatures sit above cosine ≈ 0.85, the compressed high-similarity range discussed in Section V-A.</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226 accountants, 52,071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52,071-signature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 A low rate is not a small number at archive scale, and we state the absolute consequence plainly: applied blindly across all 150,442 analyzable Big-4 signatures, the clean per-signature rate alone would be expected to yield about 888 HC flags by chance (95% CI [677, 1,098]), scaling further if the screen is run over the full archive. This is exactly why a single HC flag is never read in isolation: the evidential weight is carried by the firm-level contrast (Section IV-C) and accountant-level aggregation (Section IV-B), not by a raw archive-wide HC count.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Section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p>
      <w:pPr>
        <w:pStyle w:val="BodyText"/>
      </w:pPr>
      <w:r>
        <w:t xml:space="preserve">One point in Table II-b needs to be made explicit, because at first glance it looks like a contradiction: the within-firm HC percentages here (Firm B 29.0%, Firm C 21.6%, Firm D 22.0%) are an order of magnitude above the 0.59% chance rate of Table II, even though both are computed on the same clean calibration cell. They are not in tension, because they measure different things. The 0.59% is a</w:t>
      </w:r>
      <w:r>
        <w:t xml:space="preserve"> </w:t>
      </w:r>
      <w:r>
        <w:rPr>
          <w:i/>
          <w:iCs/>
        </w:rPr>
        <w:t xml:space="preserve">between-accountant</w:t>
      </w:r>
      <w:r>
        <w:t xml:space="preserve"> </w:t>
      </w:r>
      <w:r>
        <w:t xml:space="preserve">rate — how often the HC rule fires on the signatures of two</w:t>
      </w:r>
      <w:r>
        <w:t xml:space="preserve"> </w:t>
      </w:r>
      <w:r>
        <w:rPr>
          <w:i/>
          <w:iCs/>
        </w:rPr>
        <w:t xml:space="preserve">different</w:t>
      </w:r>
      <w:r>
        <w:t xml:space="preserve"> </w:t>
      </w:r>
      <w:r>
        <w:t xml:space="preserve">accountants — and that is the quantity the calibration uses and that stays tiny. The 21–29% figures are</w:t>
      </w:r>
      <w:r>
        <w:t xml:space="preserve"> </w:t>
      </w:r>
      <w:r>
        <w:rPr>
          <w:i/>
          <w:iCs/>
        </w:rPr>
        <w:t xml:space="preserve">within-accountant</w:t>
      </w:r>
      <w:r>
        <w:t xml:space="preserve"> </w:t>
      </w:r>
      <w:r>
        <w:t xml:space="preserve">rates — how often an accountant’s own signatures fire the rule against each other — and a substantial within-accountant rate is exactly what one expects from anyone with a consistent hand or a uniform house style, before any reuse is invoked; at these firms it also carries a genuine but smaller component of image reuse that grows after 2020 (Section V-B).</w:t>
      </w:r>
      <w:r>
        <w:t xml:space="preserve"> </w:t>
      </w:r>
      <w:r>
        <w:t xml:space="preserve">“Clean,”</w:t>
      </w:r>
      <w:r>
        <w:t xml:space="preserve"> </w:t>
      </w:r>
      <w:r>
        <w:t xml:space="preserve">in this paper, means the between-accountant coincidence is rare, not that within-accountant similarity is low. This is also why the within-accountant rate cannot be read as a false-positive rate (Section III-E), and why the contrast that isolates Firm A in Section IV-C is not</w:t>
      </w:r>
      <w:r>
        <w:t xml:space="preserve"> </w:t>
      </w:r>
      <w:r>
        <w:t xml:space="preserve">“HC fires at all”</w:t>
      </w:r>
      <w:r>
        <w:t xml:space="preserve"> </w:t>
      </w:r>
      <w:r>
        <w:t xml:space="preserve">but that Firm A’s within-accountant rate (82%) stands far above the 21–29% of three otherwise-alike firms.</w:t>
      </w:r>
    </w:p>
    <w:bookmarkEnd w:id="27"/>
    <w:bookmarkStart w:id="28"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23.4%, HSC 0.2%, LH 0.3%. The ambiguous middle (MC + UN) is therefore not a fringe: about half of all four-firm signatures, and 65–76% at Firms B/C/D individually, against 18.1% at Firm A. Read against the institutional background (Section III-A), this is exactly the expected shape. Firm A behaves in the screen as a reuse-dominated population — a reading consistent with the interviews and with the byte-identical evidence, though it rests on those rather than on per-signature ground truth — and the screen settles most of its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 To be clear about what is established versus proposed here: the category proportions above, the per-band chance rates, and the byte-identity counts are empirical results, whereas the four moves are a</w:t>
      </w:r>
      <w:r>
        <w:t xml:space="preserve"> </w:t>
      </w:r>
      <w:r>
        <w:rPr>
          <w:i/>
          <w:iCs/>
        </w:rPr>
        <w:t xml:space="preserve">designed</w:t>
      </w:r>
      <w:r>
        <w:t xml:space="preserve"> </w:t>
      </w:r>
      <w:r>
        <w:t xml:space="preserve">operating procedure derived from the calibration — they are an argument that the workload is tractable, not a validated workflow. The protocol’s end-to-end first run on a bounded, human-labeled sample, which is what would actually measure its discriminating behavior, is left to future work (Section V); we therefore present the moves as the intended use of the calibrated rule, not as evidence in their own right.</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(Section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Section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Section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(A byte-identical pair has cosine = 1 and dHash = 0, so it falls in HC by construction; that the rule</w:t>
      </w:r>
      <w:r>
        <w:t xml:space="preserve"> </w:t>
      </w:r>
      <w:r>
        <w:t xml:space="preserve">“captures”</w:t>
      </w:r>
      <w:r>
        <w:t xml:space="preserve"> </w:t>
      </w:r>
      <w:r>
        <w:t xml:space="preserve">the whole byte-identical set is therefore tautological, and we do not read it as a recall measure.)</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would retain at least as much.) A small labeled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(Section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Where a firm’s output is dominated by reuse,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(Section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28"/>
    <w:bookmarkStart w:id="35" w:name="Xa18e5de764fd94a47ea65cc84e4fed0bdd421cd"/>
    <w:p>
      <w:pPr>
        <w:pStyle w:val="Heading3"/>
      </w:pPr>
      <w:r>
        <w:t xml:space="preserve">C. Held-Out Benchmark: Firm A (a Known Positive)</w:t>
      </w:r>
    </w:p>
    <w:p>
      <w:pPr>
        <w:pStyle w:val="FirstParagraph"/>
      </w:pPr>
      <w:r>
        <w:t xml:space="preserve">Firm A — described by the interviews as a mainly-stamping firm, and kept out of the calibration — is our main benchmark. Because the interviews already identify it as a stamping firm, it is best read as a</w:t>
      </w:r>
      <w:r>
        <w:t xml:space="preserve"> </w:t>
      </w:r>
      <w:r>
        <w:rPr>
          <w:i/>
          <w:iCs/>
        </w:rPr>
        <w:t xml:space="preserve">quasi-positive institutional benchmark</w:t>
      </w:r>
      <w:r>
        <w:t xml:space="preserve">: held out from calibration, but a known positive rather than a blinded out-of-sample test. What it can confirm is that the screen’s measures move as expected on a firm independently believed to reuse images; what it cannot do is stand in for a blinded evaluation against ground-truth labels, which the corpus does not provide.</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held-out (but not blinded) case — Firm A’s signatures matched against unrelated accountants drawn from the clean 2013–2019 group — Firm A’s per-signature cross-firm HC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Section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versus 24–35% for Firms B/C/D. We deliberately report these as raw within-accountant fire rates and do not divide them by the between-accountant clean floor: as Section III-E explains, that floor is the wrong null for a within-accountant question, so an</w:t>
      </w:r>
      <w:r>
        <w:t xml:space="preserve"> </w:t>
      </w:r>
      <w:r>
        <w:t xml:space="preserve">“X× the floor”</w:t>
      </w:r>
      <w:r>
        <w:t xml:space="preserve"> </w:t>
      </w:r>
      <w:r>
        <w:t xml:space="preserve">multiplier would overstate the gap. The firm-to-firm contrast in raw rates is what carries the result.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BodyText"/>
      </w:pPr>
      <w:r>
        <w:t xml:space="preserve">Four further checks confirm the contrast is not an artefact of how the comparison pools are built, of the imaging-pipeline trend, or of any single year. First, pool size. Stratifying accountants by how many signatures they contribute and comparing within each stratum, Firm A’s HC rate exceeds the other firms’ at every level — 66% versus 20% for the smallest pools (under 50 signatures), rising to 76–84% versus 21–29% for larger pools. Even Firm-A accountants with few signatures to match against fire the rule far more often than B/C/D accountants with the same pool size; pool size raises the rate within every firm (the log-pool-size odds ratio of 4.01), but the firm gap dwarfs it and survives at fixed pool size, which rules out the</w:t>
      </w:r>
      <w:r>
        <w:t xml:space="preserve"> </w:t>
      </w:r>
      <w:r>
        <w:t xml:space="preserve">“more signatures, more chances for an extreme match”</w:t>
      </w:r>
      <w:r>
        <w:t xml:space="preserve"> </w:t>
      </w:r>
      <w:r>
        <w:t xml:space="preserve">explanation. Second, dependence among an accountant’s own signatures. Re-estimating the gap with the bootstrap resampled at the accountant level (179 Firm-A accountants, 280 at Firms B/C/D) rather than treating signatures as independent, the Firm-A-minus-B/C/D difference in HC rate is 53.7 percentage points with a 95% interval of [49.5, 57.5] — accountant-level clustering widens the intervals the per-signature Wilson bounds give, but leaves the contrast far too large to be explained away. Third, the time trend and pipeline shift (Section V-B). Adding year fixed effects to the logistic regression — so the firm effect is identified within year, net of the 2020–2021 imaging-pipeline transition — leaves Firms B/C/D at 0.06–0.12 times Firm A’s odds of an HC flag (odds ratios 0.116, 0.061, 0.070), still an order of magnitude lower once the common time trend is absorbed. Fourth, single-year dependence. Leaving out each calendar year in turn and recomputing, the Firm-A-minus-B/C/D gap stays within 53.1–54.9 percentage points (full-sample 53.7), so neither the high-reuse digital-native years (2022–2023) nor any earlier year drives it.</w:t>
      </w:r>
    </w:p>
    <w:p>
      <w:pPr>
        <w:pStyle w:val="CaptionedFigure"/>
      </w:pPr>
      <w:r>
        <w:drawing>
          <wp:inline>
            <wp:extent cx="5334000" cy="2122193"/>
            <wp:effectExtent b="0" l="0" r="0" t="0"/>
            <wp:docPr descr="Figure 4" title="" id="30" name="Picture"/>
            <a:graphic>
              <a:graphicData uri="http://schemas.openxmlformats.org/drawingml/2006/picture">
                <pic:pic>
                  <pic:nvPicPr>
                    <pic:cNvPr descr="figures/fig4.png" id="31" name="Picture"/>
                    <pic:cNvPicPr>
                      <a:picLocks noChangeArrowheads="1" noChangeAspect="1"/>
                    </pic:cNvPicPr>
                  </pic:nvPicPr>
                  <pic:blipFill>
                    <a:blip r:embed="rId29"/>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Section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(Section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33" name="Picture"/>
            <a:graphic>
              <a:graphicData uri="http://schemas.openxmlformats.org/drawingml/2006/picture">
                <pic:pic>
                  <pic:nvPicPr>
                    <pic:cNvPr descr="figures/fig5.png" id="34" name="Picture"/>
                    <pic:cNvPicPr>
                      <a:picLocks noChangeArrowheads="1" noChangeAspect="1"/>
                    </pic:cNvPicPr>
                  </pic:nvPicPr>
                  <pic:blipFill>
                    <a:blip r:embed="rId32"/>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colored by firm (accountants with ≥ 5 signatures in the period). Firm A (red) occupies the templated top of the ranking in both periods; Firms B/C/D rise after 2020 (HC rate B 29.0→42.0%, C 21.6→26.7%, D 22.0→28.0%; Firm A 80.3→83.8%), consistent with staggered formal-system adoption (Section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(Section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Section IV-B. At Firm A the ambiguous middle (MC + UN) is 18.1% — the screen reads this population almost cleanly, with four signatures in five settled outright. At Firms B/C/D the middle is 65–76% — the signature of a mixed population in which hand-signing and informal stamping coexist (Section III-A), where per-signature similarity is genuinely ambiguous. There the screen’s deliverables move up one level (Section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These pairs are not a bookkeeping artefact: every one of the 262 matches a signature in a</w:t>
      </w:r>
      <w:r>
        <w:t xml:space="preserve"> </w:t>
      </w:r>
      <w:r>
        <w:rPr>
          <w:i/>
          <w:iCs/>
        </w:rPr>
        <w:t xml:space="preserve">different</w:t>
      </w:r>
      <w:r>
        <w:t xml:space="preserve"> </w:t>
      </w:r>
      <w:r>
        <w:t xml:space="preserve">report PDF (none is the same file double-counted), and 170 of the 262 fall in different filing months, so duplicate filings or corrected re-submissions of one report cannot explain them. One caveat belongs with this count, developed in Section V-B: most of the 262 (232) occur in the post-2020 digital-native era, where exact reuse is both easier and perfectly preserved, so the raw count is not a clean prevalence trend; the pipeline-independent core is the 30 in the pre-2021 pure-scan era (18 at Firm A), which scanning noise alone cannot produce. Because a byte-identical pair has cosine = 1 and dHash = 0, it lands in HC by definition; the rule’s</w:t>
      </w:r>
      <w:r>
        <w:t xml:space="preserve"> </w:t>
      </w:r>
      <w:r>
        <w:t xml:space="preserve">“100% capture”</w:t>
      </w:r>
      <w:r>
        <w:t xml:space="preserve"> </w:t>
      </w:r>
      <w:r>
        <w:t xml:space="preserve">of this set is therefore tautological, and we do not read it as a sanity check or a lower bound on recall. We use byte-identity only for what it can show directly — that reuse occurs and where it concentrates — as a prevalence signal, not a measure of detector performance.</w:t>
      </w:r>
    </w:p>
    <w:bookmarkEnd w:id="35"/>
    <w:bookmarkEnd w:id="36"/>
    <w:bookmarkStart w:id="44"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37" w:name="Xfcbc9b16dca111abcf1b03775124867daf71f74"/>
    <w:p>
      <w:pPr>
        <w:pStyle w:val="Heading3"/>
      </w:pPr>
      <w:r>
        <w:t xml:space="preserve">A. Why the Data Contain No Natural Cutoff</w:t>
      </w:r>
    </w:p>
    <w:p>
      <w:pPr>
        <w:pStyle w:val="FirstParagraph"/>
      </w:pPr>
      <w:r>
        <w:t xml:space="preserve">This diagnostic backs the design choice announced in Section III-D and Section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centering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(Section III-E) rather than read off the data, and why the three groups used for description in Section IV-C are treated as a summary of composition, not as real mechanisms.</w:t>
      </w:r>
    </w:p>
    <w:p>
      <w:pPr>
        <w:pStyle w:val="BodyText"/>
      </w:pPr>
      <w:r>
        <w:t xml:space="preserve">A property of the cosine measure reinforces this and explains why the rule never leans on cosine alone. On these fixed-size, white-padded, ImageNet-normalized crops the within-accountant cosine is compressed into a narrow band at the top of its range: 97.7% of signatures score above 0.90, the median is 0.969, and only 0.3% fall below 0.85 (Appendix). Two signatures of the same accountant are highly cosine-similar whether the hand is steady or the image is reused, because the shared crop geometry and normalization contribute a common-structure baseline before any signature content is compared. The high cosine cut (0.95) therefore sits</w:t>
      </w:r>
      <w:r>
        <w:t xml:space="preserve"> </w:t>
      </w:r>
      <w:r>
        <w:rPr>
          <w:i/>
          <w:iCs/>
        </w:rPr>
        <w:t xml:space="preserve">inside</w:t>
      </w:r>
      <w:r>
        <w:t xml:space="preserve"> </w:t>
      </w:r>
      <w:r>
        <w:t xml:space="preserve">this saturated region — about three-quarters of signatures lie above it — so cosine on its own separates almost nothing; the structural dHash measure does the discriminating, which is why HC requires both and the cosine-only HSC band carries no evidential weight (Section III-D). We do not try to decompose this cosine baseline into its preprocessing and genuine-style parts here: doing so cleanly would mean re-extracting features with the padding and normalization ablated, which we flag as the way to quantify the preprocessing contribution and as a construct-validity check for future work.</w:t>
      </w:r>
    </w:p>
    <w:bookmarkEnd w:id="37"/>
    <w:bookmarkStart w:id="38" w:name="X511dc8d0a307b922b3bcc00e24e8648bae96a81"/>
    <w:p>
      <w:pPr>
        <w:pStyle w:val="Heading3"/>
      </w:pPr>
      <w:r>
        <w:t xml:space="preserve">B. Time Trend and the Firm–Pipeline Confound (Secondary)</w:t>
      </w:r>
    </w:p>
    <w:p>
      <w:pPr>
        <w:pStyle w:val="FirstParagraph"/>
      </w:pPr>
      <w:r>
        <w:t xml:space="preserve">Looking only at Firms B/C/D, the strict rule’s chance rate rises after 2020 (per comparison from 1.0×10⁻⁵ to 3.6×10⁻⁵; per signature from 0.59% to 1.05%), and the deployed HC rate rises in parallel (Firm B 29.0→42.0%, Firm C 21.5→26.5%, Firm D 22.1→28.5% across the two periods, Section IV-C). The rise is heterogeneous in timing rather than a common step. Tracing the yearly HC rate, Firm C’s increase is concentrated in 2022 (about 18% through 2021, then ~30% in 2022 and ~40% in 2023) and Firm B’s mainly in 2023 (about 33% in 2022, ~54% in 2023), while Firm D rises gradually with no visible step; Firm A, by contrast, is already high throughout the decade (80.3→83.8%) with no adoption-like jump — consistent with the interviews’ account of long-standing stamping. This firm-by-firm staggering is what one would expect from progressive, independent adoption of formal signing systems (Section III-A), and it is why we limit the calibration to the pre-2020 years. Table II-c gives the full five-way breakdown by firm for the 2020–2023 deployment period, as a companion to the calibration-period Table II-b and for direct cross-checking against the proportions quoted here and in Section IV-C.</w:t>
      </w:r>
    </w:p>
    <w:p>
      <w:pPr>
        <w:pStyle w:val="BodyText"/>
      </w:pPr>
      <w:r>
        <w:rPr>
          <w:b/>
          <w:bCs/>
        </w:rPr>
        <w:t xml:space="preserve">Table II-c — Five-way breakdown by firm, deployment period (Firms A–D, 2020–2023).</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83.84%</w:t>
            </w:r>
          </w:p>
        </w:tc>
        <w:tc>
          <w:tcPr/>
          <w:p>
            <w:pPr>
              <w:pStyle w:val="Compact"/>
            </w:pPr>
            <w:r>
              <w:t xml:space="preserve">9.13%</w:t>
            </w:r>
          </w:p>
        </w:tc>
        <w:tc>
          <w:tcPr/>
          <w:p>
            <w:pPr>
              <w:pStyle w:val="Compact"/>
            </w:pPr>
            <w:r>
              <w:t xml:space="preserve">0.04%</w:t>
            </w:r>
          </w:p>
        </w:tc>
        <w:tc>
          <w:tcPr/>
          <w:p>
            <w:pPr>
              <w:pStyle w:val="Compact"/>
            </w:pPr>
            <w:r>
              <w:t xml:space="preserve">6.88%</w:t>
            </w:r>
          </w:p>
        </w:tc>
        <w:tc>
          <w:tcPr/>
          <w:p>
            <w:pPr>
              <w:pStyle w:val="Compact"/>
            </w:pPr>
            <w:r>
              <w:t xml:space="preserve">0.11%</w:t>
            </w:r>
          </w:p>
        </w:tc>
        <w:tc>
          <w:tcPr/>
          <w:p>
            <w:pPr>
              <w:pStyle w:val="Compact"/>
            </w:pPr>
            <w:r>
              <w:t xml:space="preserve">23,898</w:t>
            </w:r>
          </w:p>
        </w:tc>
      </w:tr>
      <w:tr>
        <w:tc>
          <w:tcPr/>
          <w:p>
            <w:pPr>
              <w:pStyle w:val="Compact"/>
            </w:pPr>
            <w:r>
              <w:t xml:space="preserve">Firm B</w:t>
            </w:r>
          </w:p>
        </w:tc>
        <w:tc>
          <w:tcPr/>
          <w:p>
            <w:pPr>
              <w:pStyle w:val="Compact"/>
            </w:pPr>
            <w:r>
              <w:t xml:space="preserve">42.01%</w:t>
            </w:r>
          </w:p>
        </w:tc>
        <w:tc>
          <w:tcPr/>
          <w:p>
            <w:pPr>
              <w:pStyle w:val="Compact"/>
            </w:pPr>
            <w:r>
              <w:t xml:space="preserve">31.24%</w:t>
            </w:r>
          </w:p>
        </w:tc>
        <w:tc>
          <w:tcPr/>
          <w:p>
            <w:pPr>
              <w:pStyle w:val="Compact"/>
            </w:pPr>
            <w:r>
              <w:t xml:space="preserve">0.16%</w:t>
            </w:r>
          </w:p>
        </w:tc>
        <w:tc>
          <w:tcPr/>
          <w:p>
            <w:pPr>
              <w:pStyle w:val="Compact"/>
            </w:pPr>
            <w:r>
              <w:t xml:space="preserve">26.31%</w:t>
            </w:r>
          </w:p>
        </w:tc>
        <w:tc>
          <w:tcPr/>
          <w:p>
            <w:pPr>
              <w:pStyle w:val="Compact"/>
            </w:pPr>
            <w:r>
              <w:t xml:space="preserve">0.28%</w:t>
            </w:r>
          </w:p>
        </w:tc>
        <w:tc>
          <w:tcPr/>
          <w:p>
            <w:pPr>
              <w:pStyle w:val="Compact"/>
            </w:pPr>
            <w:r>
              <w:t xml:space="preserve">14,571</w:t>
            </w:r>
          </w:p>
        </w:tc>
      </w:tr>
      <w:tr>
        <w:tc>
          <w:tcPr/>
          <w:p>
            <w:pPr>
              <w:pStyle w:val="Compact"/>
            </w:pPr>
            <w:r>
              <w:t xml:space="preserve">Firm C</w:t>
            </w:r>
          </w:p>
        </w:tc>
        <w:tc>
          <w:tcPr/>
          <w:p>
            <w:pPr>
              <w:pStyle w:val="Compact"/>
            </w:pPr>
            <w:r>
              <w:t xml:space="preserve">26.53%</w:t>
            </w:r>
          </w:p>
        </w:tc>
        <w:tc>
          <w:tcPr/>
          <w:p>
            <w:pPr>
              <w:pStyle w:val="Compact"/>
            </w:pPr>
            <w:r>
              <w:t xml:space="preserve">40.78%</w:t>
            </w:r>
          </w:p>
        </w:tc>
        <w:tc>
          <w:tcPr/>
          <w:p>
            <w:pPr>
              <w:pStyle w:val="Compact"/>
            </w:pPr>
            <w:r>
              <w:t xml:space="preserve">0.41%</w:t>
            </w:r>
          </w:p>
        </w:tc>
        <w:tc>
          <w:tcPr/>
          <w:p>
            <w:pPr>
              <w:pStyle w:val="Compact"/>
            </w:pPr>
            <w:r>
              <w:t xml:space="preserve">31.77%</w:t>
            </w:r>
          </w:p>
        </w:tc>
        <w:tc>
          <w:tcPr/>
          <w:p>
            <w:pPr>
              <w:pStyle w:val="Compact"/>
            </w:pPr>
            <w:r>
              <w:t xml:space="preserve">0.51%</w:t>
            </w:r>
          </w:p>
        </w:tc>
        <w:tc>
          <w:tcPr/>
          <w:p>
            <w:pPr>
              <w:pStyle w:val="Compact"/>
            </w:pPr>
            <w:r>
              <w:t xml:space="preserve">16,485</w:t>
            </w:r>
          </w:p>
        </w:tc>
      </w:tr>
      <w:tr>
        <w:tc>
          <w:tcPr/>
          <w:p>
            <w:pPr>
              <w:pStyle w:val="Compact"/>
            </w:pPr>
            <w:r>
              <w:t xml:space="preserve">Firm D</w:t>
            </w:r>
          </w:p>
        </w:tc>
        <w:tc>
          <w:tcPr/>
          <w:p>
            <w:pPr>
              <w:pStyle w:val="Compact"/>
            </w:pPr>
            <w:r>
              <w:t xml:space="preserve">28.53%</w:t>
            </w:r>
          </w:p>
        </w:tc>
        <w:tc>
          <w:tcPr/>
          <w:p>
            <w:pPr>
              <w:pStyle w:val="Compact"/>
            </w:pPr>
            <w:r>
              <w:t xml:space="preserve">27.75%</w:t>
            </w:r>
          </w:p>
        </w:tc>
        <w:tc>
          <w:tcPr/>
          <w:p>
            <w:pPr>
              <w:pStyle w:val="Compact"/>
            </w:pPr>
            <w:r>
              <w:t xml:space="preserve">0.20%</w:t>
            </w:r>
          </w:p>
        </w:tc>
        <w:tc>
          <w:tcPr/>
          <w:p>
            <w:pPr>
              <w:pStyle w:val="Compact"/>
            </w:pPr>
            <w:r>
              <w:t xml:space="preserve">42.98%</w:t>
            </w:r>
          </w:p>
        </w:tc>
        <w:tc>
          <w:tcPr/>
          <w:p>
            <w:pPr>
              <w:pStyle w:val="Compact"/>
            </w:pPr>
            <w:r>
              <w:t xml:space="preserve">0.54%</w:t>
            </w:r>
          </w:p>
        </w:tc>
        <w:tc>
          <w:tcPr/>
          <w:p>
            <w:pPr>
              <w:pStyle w:val="Compact"/>
            </w:pPr>
            <w:r>
              <w:t xml:space="preserve">6,866</w:t>
            </w:r>
          </w:p>
        </w:tc>
      </w:tr>
    </w:tbl>
    <w:p>
      <w:pPr>
        <w:pStyle w:val="BodyText"/>
      </w:pPr>
      <w:r>
        <w:t xml:space="preserve">We deliberately stop short of reading this as a</w:t>
      </w:r>
      <w:r>
        <w:t xml:space="preserve"> </w:t>
      </w:r>
      <w:r>
        <w:rPr>
          <w:i/>
          <w:iCs/>
        </w:rPr>
        <w:t xml:space="preserve">detected</w:t>
      </w:r>
      <w:r>
        <w:t xml:space="preserve"> </w:t>
      </w:r>
      <w:r>
        <w:t xml:space="preserve">e-signing effect, because of a confound these data cannot break: firm identity — and period within a firm — bundles signing practice together with the entire imaging pipeline, and that pipeline demonstrably changes across the decade. We audited the production provenance of a stratified sample of 880 report PDFs (20 per firm-year) from their embedded metadata and page structure. The shift is stark (Table V): through 2020, reports are overwhelmingly plain scanned rasters — 70–85% in the early years carry no text layer at all, and their PDF metadata names the scanning hardware directly (for example</w:t>
      </w:r>
      <w:r>
        <w:t xml:space="preserve"> </w:t>
      </w:r>
      <w:r>
        <w:t xml:space="preserve">“Fuji Xerox D125”</w:t>
      </w:r>
      <w:r>
        <w:t xml:space="preserve"> </w:t>
      </w:r>
      <w:r>
        <w:t xml:space="preserve">and</w:t>
      </w:r>
      <w:r>
        <w:t xml:space="preserve"> </w:t>
      </w:r>
      <w:r>
        <w:t xml:space="preserve">“ApeosPort-IV 7080”</w:t>
      </w:r>
      <w:r>
        <w:t xml:space="preserve">) — whereas from 2021 plain scans collapse to about 1–2% as firms move to OCR’d and digital-native production. The two similarity measures are therefore computed on a substrate that itself transforms around 2020–2021, exactly when the baseline firms’ similarity rises; firms also differ from one another in this respect (Firm A adopts digital-native output earliest, Firm C latest), though the cross-firm gap is much smaller than the temporal one. A post-2020 rise in similarity could thus come from this coincident pipeline change just as easily as from a change in how signatures are applied (Section III-D), and with no labels and no externally-dated adoption events the two are not separable here.</w:t>
      </w:r>
    </w:p>
    <w:p>
      <w:pPr>
        <w:pStyle w:val="BodyText"/>
      </w:pPr>
      <w:r>
        <w:rPr>
          <w:b/>
          <w:bCs/>
        </w:rPr>
        <w:t xml:space="preserve">Table V — Imaging-pipeline audit: production type by year (stratified sample, 880 PDFs, 20 per firm-year).</w:t>
      </w:r>
      <w:r>
        <w:rPr>
          <w:b/>
          <w:bCs/>
        </w:rPr>
        <w:t xml:space="preserve"> </w:t>
      </w:r>
      <w:r>
        <w:rPr>
          <w:b/>
          <w:bCs/>
        </w:rPr>
        <w:t xml:space="preserve">“Scanned”</w:t>
      </w:r>
      <w:r>
        <w:rPr>
          <w:b/>
          <w:bCs/>
        </w:rPr>
        <w:t xml:space="preserve"> </w:t>
      </w:r>
      <w:r>
        <w:rPr>
          <w:b/>
          <w:bCs/>
        </w:rPr>
        <w:t xml:space="preserve">= no extractable text layer;</w:t>
      </w:r>
      <w:r>
        <w:rPr>
          <w:b/>
          <w:bCs/>
        </w:rPr>
        <w:t xml:space="preserve"> </w:t>
      </w:r>
      <w:r>
        <w:rPr>
          <w:b/>
          <w:bCs/>
        </w:rPr>
        <w:t xml:space="preserve">“digital-native”</w:t>
      </w:r>
      <w:r>
        <w:rPr>
          <w:b/>
          <w:bCs/>
        </w:rPr>
        <w:t xml:space="preserve"> </w:t>
      </w:r>
      <w:r>
        <w:rPr>
          <w:b/>
          <w:bCs/>
        </w:rPr>
        <w:t xml:space="preserve">= text-based PDF with embedded image objects; the remainder are scanned-then-OCR’d.</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Year</w:t>
            </w:r>
          </w:p>
        </w:tc>
        <w:tc>
          <w:tcPr/>
          <w:p>
            <w:pPr>
              <w:pStyle w:val="Compact"/>
            </w:pPr>
            <w:r>
              <w:t xml:space="preserve">Scanned %</w:t>
            </w:r>
          </w:p>
        </w:tc>
        <w:tc>
          <w:tcPr/>
          <w:p>
            <w:pPr>
              <w:pStyle w:val="Compact"/>
            </w:pPr>
            <w:r>
              <w:t xml:space="preserve">Digital-native %</w:t>
            </w:r>
          </w:p>
        </w:tc>
        <w:tc>
          <w:tcPr/>
          <w:p>
            <w:pPr>
              <w:pStyle w:val="Compact"/>
            </w:pPr>
            <w:r>
              <w:t xml:space="preserve">Year</w:t>
            </w:r>
          </w:p>
        </w:tc>
        <w:tc>
          <w:tcPr/>
          <w:p>
            <w:pPr>
              <w:pStyle w:val="Compact"/>
            </w:pPr>
            <w:r>
              <w:t xml:space="preserve">Scanned %</w:t>
            </w:r>
          </w:p>
        </w:tc>
        <w:tc>
          <w:tcPr/>
          <w:p>
            <w:pPr>
              <w:pStyle w:val="Compact"/>
            </w:pPr>
            <w:r>
              <w:t xml:space="preserve">Digital-native %</w:t>
            </w:r>
          </w:p>
        </w:tc>
      </w:tr>
      <w:tr>
        <w:tc>
          <w:tcPr/>
          <w:p>
            <w:pPr>
              <w:pStyle w:val="Compact"/>
            </w:pPr>
            <w:r>
              <w:t xml:space="preserve">2013</w:t>
            </w:r>
          </w:p>
        </w:tc>
        <w:tc>
          <w:tcPr/>
          <w:p>
            <w:pPr>
              <w:pStyle w:val="Compact"/>
            </w:pPr>
            <w:r>
              <w:t xml:space="preserve">82</w:t>
            </w:r>
          </w:p>
        </w:tc>
        <w:tc>
          <w:tcPr/>
          <w:p>
            <w:pPr>
              <w:pStyle w:val="Compact"/>
            </w:pPr>
            <w:r>
              <w:t xml:space="preserve">0</w:t>
            </w:r>
          </w:p>
        </w:tc>
        <w:tc>
          <w:tcPr/>
          <w:p>
            <w:pPr>
              <w:pStyle w:val="Compact"/>
            </w:pPr>
            <w:r>
              <w:t xml:space="preserve">2019</w:t>
            </w:r>
          </w:p>
        </w:tc>
        <w:tc>
          <w:tcPr/>
          <w:p>
            <w:pPr>
              <w:pStyle w:val="Compact"/>
            </w:pPr>
            <w:r>
              <w:t xml:space="preserve">56</w:t>
            </w:r>
          </w:p>
        </w:tc>
        <w:tc>
          <w:tcPr/>
          <w:p>
            <w:pPr>
              <w:pStyle w:val="Compact"/>
            </w:pPr>
            <w:r>
              <w:t xml:space="preserve">0</w:t>
            </w:r>
          </w:p>
        </w:tc>
      </w:tr>
      <w:tr>
        <w:tc>
          <w:tcPr/>
          <w:p>
            <w:pPr>
              <w:pStyle w:val="Compact"/>
            </w:pPr>
            <w:r>
              <w:t xml:space="preserve">2014</w:t>
            </w:r>
          </w:p>
        </w:tc>
        <w:tc>
          <w:tcPr/>
          <w:p>
            <w:pPr>
              <w:pStyle w:val="Compact"/>
            </w:pPr>
            <w:r>
              <w:t xml:space="preserve">76</w:t>
            </w:r>
          </w:p>
        </w:tc>
        <w:tc>
          <w:tcPr/>
          <w:p>
            <w:pPr>
              <w:pStyle w:val="Compact"/>
            </w:pPr>
            <w:r>
              <w:t xml:space="preserve">0</w:t>
            </w:r>
          </w:p>
        </w:tc>
        <w:tc>
          <w:tcPr/>
          <w:p>
            <w:pPr>
              <w:pStyle w:val="Compact"/>
            </w:pPr>
            <w:r>
              <w:t xml:space="preserve">2020</w:t>
            </w:r>
          </w:p>
        </w:tc>
        <w:tc>
          <w:tcPr/>
          <w:p>
            <w:pPr>
              <w:pStyle w:val="Compact"/>
            </w:pPr>
            <w:r>
              <w:t xml:space="preserve">52</w:t>
            </w:r>
          </w:p>
        </w:tc>
        <w:tc>
          <w:tcPr/>
          <w:p>
            <w:pPr>
              <w:pStyle w:val="Compact"/>
            </w:pPr>
            <w:r>
              <w:t xml:space="preserve">0</w:t>
            </w:r>
          </w:p>
        </w:tc>
      </w:tr>
      <w:tr>
        <w:tc>
          <w:tcPr/>
          <w:p>
            <w:pPr>
              <w:pStyle w:val="Compact"/>
            </w:pPr>
            <w:r>
              <w:t xml:space="preserve">2015</w:t>
            </w:r>
          </w:p>
        </w:tc>
        <w:tc>
          <w:tcPr/>
          <w:p>
            <w:pPr>
              <w:pStyle w:val="Compact"/>
            </w:pPr>
            <w:r>
              <w:t xml:space="preserve">85</w:t>
            </w:r>
          </w:p>
        </w:tc>
        <w:tc>
          <w:tcPr/>
          <w:p>
            <w:pPr>
              <w:pStyle w:val="Compact"/>
            </w:pPr>
            <w:r>
              <w:t xml:space="preserve">0</w:t>
            </w:r>
          </w:p>
        </w:tc>
        <w:tc>
          <w:tcPr/>
          <w:p>
            <w:pPr>
              <w:pStyle w:val="Compact"/>
            </w:pPr>
            <w:r>
              <w:t xml:space="preserve">2021</w:t>
            </w:r>
          </w:p>
        </w:tc>
        <w:tc>
          <w:tcPr/>
          <w:p>
            <w:pPr>
              <w:pStyle w:val="Compact"/>
            </w:pPr>
            <w:r>
              <w:t xml:space="preserve">1</w:t>
            </w:r>
          </w:p>
        </w:tc>
        <w:tc>
          <w:tcPr/>
          <w:p>
            <w:pPr>
              <w:pStyle w:val="Compact"/>
            </w:pPr>
            <w:r>
              <w:t xml:space="preserve">7</w:t>
            </w:r>
          </w:p>
        </w:tc>
      </w:tr>
      <w:tr>
        <w:tc>
          <w:tcPr/>
          <w:p>
            <w:pPr>
              <w:pStyle w:val="Compact"/>
            </w:pPr>
            <w:r>
              <w:t xml:space="preserve">2016</w:t>
            </w:r>
          </w:p>
        </w:tc>
        <w:tc>
          <w:tcPr/>
          <w:p>
            <w:pPr>
              <w:pStyle w:val="Compact"/>
            </w:pPr>
            <w:r>
              <w:t xml:space="preserve">70</w:t>
            </w:r>
          </w:p>
        </w:tc>
        <w:tc>
          <w:tcPr/>
          <w:p>
            <w:pPr>
              <w:pStyle w:val="Compact"/>
            </w:pPr>
            <w:r>
              <w:t xml:space="preserve">2</w:t>
            </w:r>
          </w:p>
        </w:tc>
        <w:tc>
          <w:tcPr/>
          <w:p>
            <w:pPr>
              <w:pStyle w:val="Compact"/>
            </w:pPr>
            <w:r>
              <w:t xml:space="preserve">2022</w:t>
            </w:r>
          </w:p>
        </w:tc>
        <w:tc>
          <w:tcPr/>
          <w:p>
            <w:pPr>
              <w:pStyle w:val="Compact"/>
            </w:pPr>
            <w:r>
              <w:t xml:space="preserve">2</w:t>
            </w:r>
          </w:p>
        </w:tc>
        <w:tc>
          <w:tcPr/>
          <w:p>
            <w:pPr>
              <w:pStyle w:val="Compact"/>
            </w:pPr>
            <w:r>
              <w:t xml:space="preserve">16</w:t>
            </w:r>
          </w:p>
        </w:tc>
      </w:tr>
      <w:tr>
        <w:tc>
          <w:tcPr/>
          <w:p>
            <w:pPr>
              <w:pStyle w:val="Compact"/>
            </w:pPr>
            <w:r>
              <w:t xml:space="preserve">2017</w:t>
            </w:r>
          </w:p>
        </w:tc>
        <w:tc>
          <w:tcPr/>
          <w:p>
            <w:pPr>
              <w:pStyle w:val="Compact"/>
            </w:pPr>
            <w:r>
              <w:t xml:space="preserve">50</w:t>
            </w:r>
          </w:p>
        </w:tc>
        <w:tc>
          <w:tcPr/>
          <w:p>
            <w:pPr>
              <w:pStyle w:val="Compact"/>
            </w:pPr>
            <w:r>
              <w:t xml:space="preserve">0</w:t>
            </w:r>
          </w:p>
        </w:tc>
        <w:tc>
          <w:tcPr/>
          <w:p>
            <w:pPr>
              <w:pStyle w:val="Compact"/>
            </w:pPr>
            <w:r>
              <w:t xml:space="preserve">2023</w:t>
            </w:r>
          </w:p>
        </w:tc>
        <w:tc>
          <w:tcPr/>
          <w:p>
            <w:pPr>
              <w:pStyle w:val="Compact"/>
            </w:pPr>
            <w:r>
              <w:t xml:space="preserve">2</w:t>
            </w:r>
          </w:p>
        </w:tc>
        <w:tc>
          <w:tcPr/>
          <w:p>
            <w:pPr>
              <w:pStyle w:val="Compact"/>
            </w:pPr>
            <w:r>
              <w:t xml:space="preserve">30</w:t>
            </w:r>
          </w:p>
        </w:tc>
      </w:tr>
      <w:tr>
        <w:tc>
          <w:tcPr/>
          <w:p>
            <w:pPr>
              <w:pStyle w:val="Compact"/>
            </w:pPr>
            <w:r>
              <w:t xml:space="preserve">2018</w:t>
            </w:r>
          </w:p>
        </w:tc>
        <w:tc>
          <w:tcPr/>
          <w:p>
            <w:pPr>
              <w:pStyle w:val="Compact"/>
            </w:pPr>
            <w:r>
              <w:t xml:space="preserve">55</w:t>
            </w:r>
          </w:p>
        </w:tc>
        <w:tc>
          <w:tcPr/>
          <w:p>
            <w:pPr>
              <w:pStyle w:val="Compact"/>
            </w:pPr>
            <w:r>
              <w:t xml:space="preserve">0</w:t>
            </w:r>
          </w:p>
        </w:tc>
        <w:tc>
          <w:tcPr/>
          <w:p>
            <w:pPr>
              <w:pStyle w:val="Compact"/>
            </w:pPr>
          </w:p>
        </w:tc>
        <w:tc>
          <w:tcPr/>
          <w:p>
            <w:pPr>
              <w:pStyle w:val="Compact"/>
            </w:pPr>
          </w:p>
        </w:tc>
        <w:tc>
          <w:tcPr/>
          <w:p>
            <w:pPr>
              <w:pStyle w:val="Compact"/>
            </w:pPr>
          </w:p>
        </w:tc>
      </w:tr>
    </w:tbl>
    <w:p>
      <w:pPr>
        <w:pStyle w:val="BodyText"/>
      </w:pPr>
      <w:r>
        <w:t xml:space="preserve">This same transition qualifies the byte-identity evidence (Section IV-C), which we flag rather than let the raw count mislead. Of the 262 byte-identical signatures, 232 fall in the digital-native era (2021–2023), where embedding a discrete signature image makes exact reuse both easy to do and perfectly preserved — so the post-2020 surge in byte-identical pairs is inflated by detectability and should not be read as a purely behavioral increase. The pipeline-robust core is the 30 byte-identical signatures in the pre-2021 pure-scan era, 18 of them at Firm A: two independently hand-signed pages, separately scanned, cannot yield byte-identical crops, so these are direct evidence of digital image reuse that predates the digital-native transition and concentrates at Firm A. This is also why Firm A’s elevation, present throughout the scanned years, cannot be an artifact of digital-native embedding.</w:t>
      </w:r>
    </w:p>
    <w:p>
      <w:pPr>
        <w:pStyle w:val="BodyText"/>
      </w:pPr>
      <w:r>
        <w:t xml:space="preserve">The clean way to separate them would be an event study that aligns each firm to its own externally-documented e-signing adoption date and absorbs static firm differences and common-year shocks with firm and year fixed effects; a within-firm jump locked to each firm’s own adoption month would be evidence for signing practice over static pipeline. We do not possess those adoption dates — and inferring them from the very HC series we would then test would be circular (Section III-E) — so we flag this event study as the natural next step rather than a result we can claim here. For this paper the trend serves only its narrower purpose: it justifies the pre-2020 calibration window and stands as a robustness check, not as a causal finding.</w:t>
      </w:r>
    </w:p>
    <w:bookmarkEnd w:id="38"/>
    <w:bookmarkStart w:id="42"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w:t>
      </w:r>
    </w:p>
    <w:p>
      <w:pPr>
        <w:pStyle w:val="BodyText"/>
      </w:pPr>
      <w:r>
        <w:t xml:space="preserve">A single slope understates how the rule behaves, so we map the full surface rather than defend one cut. Figure 6 plots, over the entire (cosine cut × dHash cut) plane, the clean-group flag rate (panel a) and the Firm A − B/C/D flag-rate contrast (panel b), and neither view favours the chosen cut by construction. First, the surfaces are smooth: there is no cliff at (0.95, dHash ≤ 5), so the operating point is a readable choice on a continuous trade-off rather than a discovered boundary (Section V-A), and an operator who wants a tighter floor can move toward higher cosine and lower dHash and read the consequence off the surface. Second, the firm contrast is not an artefact of the threshold: it exceeds 45 percentage points across a broad region of low-dHash, high-cosine cuts and in fact grows as the cut tightens (for example 58 pp at cosine 0.97, dHash ≤ 3), so the deliberately looser HC point trades a few points of contrast for catching more reuse, not the reverse. The same surface makes the weakness of the cosine-only direction explicit: extending the structural cut to the MC bound (dHash ≤ 15) roughly halves the contrast (to about 27 pp) while sharply inflating the clean-group flag rate. That is precisely why the MC band is only advisory and the cosine-only HSC band carries no weight (Section III-D): the partition is not drawn to flatter the narrative, and the surface shows directly where each band earns its keep and where it does not.</w:t>
      </w:r>
    </w:p>
    <w:p>
      <w:pPr>
        <w:pStyle w:val="CaptionedFigure"/>
      </w:pPr>
      <w:r>
        <w:drawing>
          <wp:inline>
            <wp:extent cx="5334000" cy="2303850"/>
            <wp:effectExtent b="0" l="0" r="0" t="0"/>
            <wp:docPr descr="Figure 6" title="" id="40" name="Picture"/>
            <a:graphic>
              <a:graphicData uri="http://schemas.openxmlformats.org/drawingml/2006/picture">
                <pic:pic>
                  <pic:nvPicPr>
                    <pic:cNvPr descr="figures/fig6.png" id="41" name="Picture"/>
                    <pic:cNvPicPr>
                      <a:picLocks noChangeArrowheads="1" noChangeAspect="1"/>
                    </pic:cNvPicPr>
                  </pic:nvPicPr>
                  <pic:blipFill>
                    <a:blip r:embed="rId39"/>
                    <a:stretch>
                      <a:fillRect/>
                    </a:stretch>
                  </pic:blipFill>
                  <pic:spPr bwMode="auto">
                    <a:xfrm>
                      <a:off x="0" y="0"/>
                      <a:ext cx="5334000" cy="2303850"/>
                    </a:xfrm>
                    <a:prstGeom prst="rect">
                      <a:avLst/>
                    </a:prstGeom>
                    <a:noFill/>
                    <a:ln w="9525">
                      <a:noFill/>
                      <a:headEnd/>
                      <a:tailEnd/>
                    </a:ln>
                  </pic:spPr>
                </pic:pic>
              </a:graphicData>
            </a:graphic>
          </wp:inline>
        </w:drawing>
      </w:r>
    </w:p>
    <w:p>
      <w:pPr>
        <w:pStyle w:val="ImageCaption"/>
      </w:pPr>
      <w:r>
        <w:t xml:space="preserve">Figure 6</w:t>
      </w:r>
    </w:p>
    <w:p>
      <w:pPr>
        <w:pStyle w:val="BodyText"/>
      </w:pPr>
      <w:r>
        <w:rPr>
          <w:i/>
          <w:iCs/>
        </w:rPr>
        <w:t xml:space="preserve">Figure 6. Sensitivity surface of the deployed rule over the two-measure threshold plane (Big-4, n = 150,441). (a) Clean-group (B/C/D) flag rate at each (cosine cut, dHash cut); the chosen HC operating point (star) sits in a low-rate, high-specificity region with no cliff. (b) Firm A minus B/C/D flag-rate contrast (percentage points); the contrast exceeds 45 pp across a broad low-dHash, high-cosine band and weakens toward the MC bound (dHash ≤ 15, dotted), so the operating point is not a cherry-picked threshold and the MC band is visibly the less discriminating region.</w:t>
      </w:r>
      <w:r>
        <w:t xml:space="preserve"> </w:t>
      </w:r>
      <w:r>
        <w:t xml:space="preserve">The MC/HSC boundary at dHash = 15 sits in a flat (saturating) region, where moving the line adds flagged cases without adding specificity; this is a further reason to treat the MC band as advisory (Section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Crossover scope. The low cosine cut is the same-vs-different-accountant cosine crossover; recomputing it across scopes moves it by at most 0.025 — 0.8547 on the calibration cell (the primary value; Section IV-A), 0.8367 corpus-wide, 0.8489 on the all-period baseline firms, 0.8302 with the non-Big-4 firms added — and because the cut affects only the UN/LH boundary, switching among these scopes changes no HC/MC/HSC result and shifts the UN/LH split by at most 0.4 percentage points per firm. We use the calibration-cell value as primary for held-out discipline and report the others as robustness.</w:t>
      </w:r>
    </w:p>
    <w:p>
      <w:pPr>
        <w:pStyle w:val="BodyText"/>
      </w:pPr>
      <w:r>
        <w:t xml:space="preserve">The same-pair variant. Recomputing the rule so that a single partner signature must satisfy both inequalities at once (the same-pair rule of Section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(Section I, Section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behavior, it yields the highest Firm A all-pairs 1st-percentile similarity (0.543), and its 2048-dim features are a practical compromise for processing 182K+ signatures. The comparison supports ResNet-50.</w:t>
      </w:r>
    </w:p>
    <w:bookmarkEnd w:id="42"/>
    <w:bookmarkStart w:id="43" w:name="d.-threats-to-validity"/>
    <w:p>
      <w:pPr>
        <w:pStyle w:val="Heading3"/>
      </w:pPr>
      <w:r>
        <w:t xml:space="preserve">D. Threats to Validity</w:t>
      </w:r>
    </w:p>
    <w:p>
      <w:pPr>
        <w:pStyle w:val="FirstParagraph"/>
      </w:pPr>
      <w:r>
        <w:t xml:space="preserve">For the reader’s convenience we collect the main threats to validity in one place, each with a pointer to where it is treated and, where relevant, the direction of its bias. They are consequences of working without labels, and we state them as limitations rather than dissolve them.</w:t>
      </w:r>
    </w:p>
    <w:p>
      <w:pPr>
        <w:pStyle w:val="Compact"/>
        <w:numPr>
          <w:ilvl w:val="0"/>
          <w:numId w:val="1007"/>
        </w:numPr>
      </w:pPr>
      <w:r>
        <w:rPr>
          <w:i/>
          <w:iCs/>
        </w:rPr>
        <w:t xml:space="preserve">No signature-level ground truth.</w:t>
      </w:r>
      <w:r>
        <w:t xml:space="preserve"> </w:t>
      </w:r>
      <w:r>
        <w:t xml:space="preserve">The archive labels no signature as hand-signed or reused, so we report no recall, precision, ROC-AUC, or false-rejection rate, and every rate is a chance rate, not an error rate (Section III-D, Section VI).</w:t>
      </w:r>
    </w:p>
    <w:p>
      <w:pPr>
        <w:pStyle w:val="Compact"/>
        <w:numPr>
          <w:ilvl w:val="0"/>
          <w:numId w:val="1007"/>
        </w:numPr>
      </w:pPr>
      <w:r>
        <w:rPr>
          <w:i/>
          <w:iCs/>
        </w:rPr>
        <w:t xml:space="preserve">Wrong null for the reuse question.</w:t>
      </w:r>
      <w:r>
        <w:t xml:space="preserve"> </w:t>
      </w:r>
      <w:r>
        <w:t xml:space="preserve">The ICCR is a between-accountant coincidence rate; the within-accountant false-positive rate the question needs is not estimable and the ICCR is not even a bound on it, so</w:t>
      </w:r>
      <w:r>
        <w:t xml:space="preserve"> </w:t>
      </w:r>
      <w:r>
        <w:t xml:space="preserve">“X× the floor”</w:t>
      </w:r>
      <w:r>
        <w:t xml:space="preserve"> </w:t>
      </w:r>
      <w:r>
        <w:t xml:space="preserve">comparisons are avoided as anti-conservative (Section III-E, Section IV-C).</w:t>
      </w:r>
    </w:p>
    <w:p>
      <w:pPr>
        <w:pStyle w:val="Compact"/>
        <w:numPr>
          <w:ilvl w:val="0"/>
          <w:numId w:val="1007"/>
        </w:numPr>
      </w:pPr>
      <w:r>
        <w:rPr>
          <w:i/>
          <w:iCs/>
        </w:rPr>
        <w:t xml:space="preserve">Reference-group contamination / circular selection.</w:t>
      </w:r>
      <w:r>
        <w:t xml:space="preserve"> </w:t>
      </w:r>
      <w:r>
        <w:t xml:space="preserve">The clean floor is conditional on the reference group truly being clean; undetected reuse there would only raise the floor, biasing the Firm-A contrast conservatively, and the floor does not hinge on any single baseline firm (Section III-E).</w:t>
      </w:r>
    </w:p>
    <w:p>
      <w:pPr>
        <w:pStyle w:val="Compact"/>
        <w:numPr>
          <w:ilvl w:val="0"/>
          <w:numId w:val="1007"/>
        </w:numPr>
      </w:pPr>
      <w:r>
        <w:rPr>
          <w:i/>
          <w:iCs/>
        </w:rPr>
        <w:t xml:space="preserve">Pool-size and extremal dependence.</w:t>
      </w:r>
      <w:r>
        <w:t xml:space="preserve"> </w:t>
      </w:r>
      <w:r>
        <w:t xml:space="preserve">The rule takes a maximum over a pool, so larger pools mechanically raise fire rates; the firm contrast nonetheless holds within every pool-size stratum and under accountant-clustered resampling (Section IV-C).</w:t>
      </w:r>
    </w:p>
    <w:p>
      <w:pPr>
        <w:pStyle w:val="Compact"/>
        <w:numPr>
          <w:ilvl w:val="0"/>
          <w:numId w:val="1007"/>
        </w:numPr>
      </w:pPr>
      <w:r>
        <w:rPr>
          <w:i/>
          <w:iCs/>
        </w:rPr>
        <w:t xml:space="preserve">Firm–pipeline confound.</w:t>
      </w:r>
      <w:r>
        <w:t xml:space="preserve"> </w:t>
      </w:r>
      <w:r>
        <w:t xml:space="preserve">Firm identity bundles signing practice with the imaging pipeline (crop geometry and reuse rates differ by firm), and internal timing cannot separate the two without externally-dated adoption events; a fixed-effects event study is the natural next step (Section V-B).</w:t>
      </w:r>
    </w:p>
    <w:p>
      <w:pPr>
        <w:pStyle w:val="Compact"/>
        <w:numPr>
          <w:ilvl w:val="0"/>
          <w:numId w:val="1007"/>
        </w:numPr>
      </w:pPr>
      <w:r>
        <w:rPr>
          <w:i/>
          <w:iCs/>
        </w:rPr>
        <w:t xml:space="preserve">Preprocessing and construct validity.</w:t>
      </w:r>
      <w:r>
        <w:t xml:space="preserve"> </w:t>
      </w:r>
      <w:r>
        <w:t xml:space="preserve">Padding and ImageNet normalization compress cosine into a narrow high band, so cosine alone discriminates little and the rule relies on the structural measure; a padding/normalization ablation is needed to quantify the preprocessing contribution (Section V-A).</w:t>
      </w:r>
    </w:p>
    <w:p>
      <w:pPr>
        <w:pStyle w:val="Compact"/>
        <w:numPr>
          <w:ilvl w:val="0"/>
          <w:numId w:val="1007"/>
        </w:numPr>
      </w:pPr>
      <w:r>
        <w:rPr>
          <w:i/>
          <w:iCs/>
        </w:rPr>
        <w:t xml:space="preserve">Generalizability.</w:t>
      </w:r>
      <w:r>
        <w:t xml:space="preserve"> </w:t>
      </w:r>
      <w:r>
        <w:t xml:space="preserve">Calibration is on a Chinese-signature corpus from one jurisdiction with a specific pipeline; the operating point is a starting reference for comparable pipelines, not a transplantable constant, and requires recalibration elsewhere (Section III-D, Section VI).</w:t>
      </w:r>
    </w:p>
    <w:p>
      <w:pPr>
        <w:pStyle w:val="Compact"/>
        <w:numPr>
          <w:ilvl w:val="0"/>
          <w:numId w:val="1007"/>
        </w:numPr>
      </w:pPr>
      <w:r>
        <w:rPr>
          <w:i/>
          <w:iCs/>
        </w:rPr>
        <w:t xml:space="preserve">Non-reproducible corroboration and an unrun protocol.</w:t>
      </w:r>
      <w:r>
        <w:t xml:space="preserve"> </w:t>
      </w:r>
      <w:r>
        <w:t xml:space="preserve">The interviews are self-reported and not reproducible, so agreement with them shows consistency with domain knowledge, not measured accuracy (Section III-A); and the review protocol of Section IV-B is a designed procedure whose validating first run remains future work.</w:t>
      </w:r>
    </w:p>
    <w:bookmarkEnd w:id="43"/>
    <w:bookmarkEnd w:id="44"/>
    <w:bookmarkStart w:id="45"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labeled data we cannot get, a calibration based on how often the rule fires by chance in a clean reference group. That calibration yields both a between-accountant specificity proxy and a concrete operating point: the high-confidence rule almost never fires by chance on the clean group, so it is a usable, highly specific screen, with a defined, bounded human-review protocol (Section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offers a practical starting reference for comparable Chinese-signature pipelines and, in principle, an approach portable to other scripts — subject in each case to recalibration on the new setting. Held out as a known-positive benchmark,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between-accountant chance rate read as a proxy for specificity, not a true false-acceptance rate, and not even a bound on the within-accountant false-positive rate the reuse question would need (Section III-E).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may contain both a tight recurring sub-cluster and a dispersed remainder if both practices are present.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of the 226 Firms-B/C/D 2013–2019 accountants with enough signatures for a set-level shape to be estimated,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Section V-A recurs at the accountant level; we therefore treat set-level adjudication as a research direction rather than a ready robustness result. Second, executing the review protocol of Section IV-B on a bounded sample — its first run — would both test the protocol’s expected discriminating behavior and accumulate the small human-labeled set that permits supervised validation and direct error rates. Third, image-acquisition metadata (scanner identifiers, PDF-generator fingerprints, compression markers) adds a provenance axis that could help resolve the pipeline-versus-reuse ambiguity similarity alone cannot; we confirmed this metadata survives in the present corpus rather than being flattened by the platform, though its discriminative power remains to be validated (Section IV-B, Move 4). Fourth, the audit-quality question itself: whether firm-level signing patterns correlate with audit outcomes, for which this screening supplies the measurement layer.</w:t>
      </w:r>
    </w:p>
    <w:bookmarkEnd w:id="45"/>
    <w:bookmarkStart w:id="48" w:name="X5ec211f8f647f2530cda96590881ae466083fd8"/>
    <w:p>
      <w:pPr>
        <w:pStyle w:val="Heading2"/>
      </w:pPr>
      <w:r>
        <w:t xml:space="preserve">Appendix A. Supplementary Diagnostic Detail</w:t>
      </w:r>
    </w:p>
    <w:bookmarkStart w:id="46" w:name="X98d555d53b53facf0feec2d9a685f7a51881a1a"/>
    <w:p>
      <w:pPr>
        <w:pStyle w:val="Heading3"/>
      </w:pPr>
      <w:r>
        <w:t xml:space="preserve">A.1. BD/McCrary Bin-Width Sensitivity (Signature Level)</w:t>
      </w:r>
    </w:p>
    <w:p>
      <w:pPr>
        <w:pStyle w:val="FirstParagraph"/>
      </w:pPr>
      <w:r>
        <w:t xml:space="preserve">The main text (Section III-D, Section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(Section V-A).</w:t>
      </w:r>
    </w:p>
    <w:bookmarkEnd w:id="46"/>
    <w:bookmarkStart w:id="47"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(Section V-A)</w:t>
            </w:r>
          </w:p>
        </w:tc>
        <w:tc>
          <w:tcPr/>
          <w:p>
            <w:pPr>
              <w:pStyle w:val="Compact"/>
            </w:pPr>
            <w:r>
              <w:t xml:space="preserve">Whether descriptor multimodality is within-population (mechanism) or between-group (composition + integer artefact); p_median = 0.35 under joint firm-mean centering + integer-tie jitter</w:t>
            </w:r>
          </w:p>
        </w:tc>
        <w:tc>
          <w:tcPr/>
          <w:p>
            <w:pPr>
              <w:pStyle w:val="Compact"/>
            </w:pPr>
            <w:r>
              <w:t xml:space="preserve">Integer-tie jitter and firm-mean centering are unbiased over the descriptor support</w:t>
            </w:r>
          </w:p>
        </w:tc>
      </w:tr>
      <w:tr>
        <w:tc>
          <w:tcPr/>
          <w:p>
            <w:pPr>
              <w:pStyle w:val="Compact"/>
            </w:pPr>
            <w:r>
              <w:t xml:space="preserve">Per-comparison ICCR (Section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(Section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(Section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(Section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(Section IV-C, Section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(Section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(Section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(Section IV-C)</w:t>
            </w:r>
          </w:p>
        </w:tc>
        <w:tc>
          <w:tcPr/>
          <w:p>
            <w:pPr>
              <w:pStyle w:val="Compact"/>
            </w:pPr>
            <w:r>
              <w:t xml:space="preserve">Prevalence evidence that reuse occurs and where it concentrates</w:t>
            </w:r>
          </w:p>
        </w:tc>
        <w:tc>
          <w:tcPr/>
          <w:p>
            <w:pPr>
              <w:pStyle w:val="Compact"/>
            </w:pPr>
            <w:r>
              <w:t xml:space="preserve">Anchor is tautologically captured by any reasonable threshold; not read as a recall or performance measure</w:t>
            </w:r>
          </w:p>
        </w:tc>
      </w:tr>
    </w:tbl>
    <w:bookmarkEnd w:id="47"/>
    <w:bookmarkEnd w:id="48"/>
    <w:bookmarkStart w:id="49"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49"/>
    <w:bookmarkStart w:id="50"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 [Online]. Available: https://docs.ultralytics.com</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Jan. 21, 2013. [Online]. Available: https://www.hackerfactor.com/blog/index.php?/archives/529-Kind-of-Like-That.html</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50"/>
    <w:bookmarkStart w:id="51"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Section III-A (a de-identified subset and the per-table provenance mapping are included, with the full image set available to reviewers under the platform’s public-data terms).</w:t>
      </w:r>
    </w:p>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17" Target="media/rId17.png" /><Relationship Type="http://schemas.openxmlformats.org/officeDocument/2006/relationships/image" Id="rId24" Target="media/rId24.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2026-06-23T06:56:10Z</dcterms:created>
  <dcterms:modified xsi:type="dcterms:W3CDTF">2026-06-23T06:56:10Z</dcterms:modified>
</cp:coreProperties>
</file>

<file path=docProps/custom.xml><?xml version="1.0" encoding="utf-8"?>
<Properties xmlns="http://schemas.openxmlformats.org/officeDocument/2006/custom-properties" xmlns:vt="http://schemas.openxmlformats.org/officeDocument/2006/docPropsVTypes"/>
</file>