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7.png" ContentType="image/png"/>
  <Override PartName="/word/media/rId24.png" ContentType="image/png"/>
  <Override PartName="/word/media/rId29.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the certifying accountant’s signature as the mark of an individual act of endorsement, but once reports are produced and stored digitally, a saved image of that signature can be pasted onto many reports instead — by manual stamping or by an automated signing system. We call such signatures non-hand-signed. This is not forgery: the signer is genuine, and the question is whether an act of signing took place for each report. We present a screening system that asks this question at archive scale: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that reflects style, and a perceptual-hash (dHash) distance that reflects pixel-level structure — a consistent hand keeps style similarity high while structure varies, whereas a reused image keeps both extreme. The archive carries no signature-level labels, and the data contain no natural gap (a unimodality test gives median p = 0.35 once firm effects and the hash’s integer steps are removed), so no cutoff can be learned or read off the data. Instead, we calibrate a five-way rule by how often it fires by chance among unrelated accountants in a clean reference group (the non-Firm-A firms, 2013–2019): the strict high-confidence rule fires on about 1.2% of clean-group reports and anchors a high-specificity tier; a looser band fires on about 17.5% and is demoted to advisory. Held out as a test, Firm A fires the strict rule on 82% of its own signatures — about 139 times the chance rate — while its cross-firm match rate sits at or below the clean reference rate and is negligible beside its within-firm matching, so the signal is entirely inside the firm; 262 byte-identical signatures (145 at Firm A) are direct evidence of reuse, and anonymized interviews independently describe Firm A as a stamping firm since at least 2013. Operationally, the screen discovers where reuse concentrates without being told where to look, and it keeps human review at the scale of exceptions — at the signature level where reuse dominates, and at the accountant level where practices are mixed, through calibrated demotion of the low-specificity band, accountant-level ranking, and byte-identity confirmation — withholding only per-signature verdicts for the ambiguous middle. Calibrated on a large Chinese-signature corpus with script-agnostic image descriptors, the high-confidence rule and its measured specificity serve as a concrete, operator-tunable reference point for other Chinese-signature settings. We report specificity rather than a true error rate, and we label no single signature.</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The worry is not about legality; it is about meaning. A single image pasted onto hundreds of reports may not carry the individual endorsement the rule assumes — a concern the literature on signatures connects to behaviour,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the rule’s specificity: it gives us a principled way to choose an operating point, and — just as important — it tells us exactly what each category’s flag is worth.</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labels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 that practitioners working with Chinese-signature corpora can adopt directly or use as a starting reference,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test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behaviour is unknown. (The statistical tools we use to test for a natural cutoff and to describe the rule once we find none are introduced where they are used, in §III and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labelled validation with a chance-rate measured in a clean reference group, together with the pipeline and dual descriptor that make the screening possible (contributions listed in §I).</w:t>
      </w:r>
    </w:p>
    <w:bookmarkEnd w:id="11"/>
    <w:bookmarkStart w:id="23"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§IV-C, but they do not tell us the status of any single signature.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(§III-E) is that, in the pre-2020 baseline firms, different accountants did not share a common template — not that every signature was handwritten.</w:t>
      </w:r>
    </w:p>
    <w:bookmarkEnd w:id="12"/>
    <w:bookmarkStart w:id="16"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§III-C. We then split this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test 1: Firm A, 2013–2023.</w:t>
      </w:r>
    </w:p>
    <w:p>
      <w:pPr>
        <w:pStyle w:val="Compact"/>
        <w:numPr>
          <w:ilvl w:val="0"/>
          <w:numId w:val="1002"/>
        </w:numPr>
      </w:pPr>
      <w:r>
        <w:t xml:space="preserve">Held-out test 2 (secondary): Firms B/C/D, 2020–2023.</w:t>
      </w:r>
    </w:p>
    <w:p>
      <w:pPr>
        <w:pStyle w:val="FirstParagraph"/>
      </w:pPr>
      <w:r>
        <w:t xml:space="preserve">We explain the reason for each part in §III-E. The key idea is simple: we calibrate only on the clean cell — the non-Firm-A firms in the years before formal systems — and test everything else against it. No numbers appear here; the calibration results start in §IV-A.</w:t>
      </w:r>
    </w:p>
    <w:p>
      <w:pPr>
        <w:pStyle w:val="CaptionedFigure"/>
      </w:pPr>
      <w:r>
        <w:drawing>
          <wp:inline>
            <wp:extent cx="5334000" cy="2380973"/>
            <wp:effectExtent b="0" l="0" r="0" t="0"/>
            <wp:docPr descr="Figure 1" title="" id="14" name="Picture"/>
            <a:graphic>
              <a:graphicData uri="http://schemas.openxmlformats.org/drawingml/2006/picture">
                <pic:pic>
                  <pic:nvPicPr>
                    <pic:cNvPr descr="/tmp/fig1.png" id="15" name="Picture"/>
                    <pic:cNvPicPr>
                      <a:picLocks noChangeArrowheads="1" noChangeAspect="1"/>
                    </pic:cNvPicPr>
                  </pic:nvPicPr>
                  <pic:blipFill>
                    <a:blip r:embed="rId13"/>
                    <a:stretch>
                      <a:fillRect/>
                    </a:stretch>
                  </pic:blipFill>
                  <pic:spPr bwMode="auto">
                    <a:xfrm>
                      <a:off x="0" y="0"/>
                      <a:ext cx="5334000" cy="2380973"/>
                    </a:xfrm>
                    <a:prstGeom prst="rect">
                      <a:avLst/>
                    </a:prstGeom>
                    <a:noFill/>
                    <a:ln w="9525">
                      <a:noFill/>
                      <a:headEnd/>
                      <a:tailEnd/>
                    </a:ln>
                  </pic:spPr>
                </pic:pic>
              </a:graphicData>
            </a:graphic>
          </wp:inline>
        </w:drawing>
      </w:r>
    </w:p>
    <w:p>
      <w:pPr>
        <w:pStyle w:val="ImageCaption"/>
      </w:pPr>
      <w:r>
        <w:t xml:space="preserve">Figure 1</w:t>
      </w:r>
    </w:p>
    <w:p>
      <w:pPr>
        <w:pStyle w:val="BodyText"/>
      </w:pPr>
      <w:r>
        <w:rPr>
          <w:i/>
          <w:iCs/>
        </w:rPr>
        <w:t xml:space="preserve">Figure 1. The data split. Rows are Firms A–D; columns are 2013–2019 and 2020–2023. The B/C/D × 2013–2019 cells are the clean calibration group; Firm A (both periods) is held-out test 1; B/C/D × 2020–2023 is the secondary held-out test. We calibrate only on the clean cell and test everything else against it.</w:t>
      </w:r>
    </w:p>
    <w:bookmarkEnd w:id="16"/>
    <w:bookmarkStart w:id="20" w:name="c.-pipeline"/>
    <w:p>
      <w:pPr>
        <w:pStyle w:val="Heading3"/>
      </w:pPr>
      <w:r>
        <w:t xml:space="preserve">C. Pipeline</w:t>
      </w:r>
    </w:p>
    <w:p>
      <w:pPr>
        <w:pStyle w:val="FirstParagraph"/>
      </w:pPr>
      <w:r>
        <w:t xml:space="preserve">The pipeline turns a raw PDF report into labelled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colour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§IV-A.)</w:t>
      </w:r>
    </w:p>
    <w:p>
      <w:pPr>
        <w:pStyle w:val="CaptionedFigure"/>
      </w:pPr>
      <w:r>
        <w:drawing>
          <wp:inline>
            <wp:extent cx="5334000" cy="1595736"/>
            <wp:effectExtent b="0" l="0" r="0" t="0"/>
            <wp:docPr descr="Figure 2" title="" id="18" name="Picture"/>
            <a:graphic>
              <a:graphicData uri="http://schemas.openxmlformats.org/drawingml/2006/picture">
                <pic:pic>
                  <pic:nvPicPr>
                    <pic:cNvPr descr="/tmp/fig2.png" id="19" name="Picture"/>
                    <pic:cNvPicPr>
                      <a:picLocks noChangeArrowheads="1" noChangeAspect="1"/>
                    </pic:cNvPicPr>
                  </pic:nvPicPr>
                  <pic:blipFill>
                    <a:blip r:embed="rId17"/>
                    <a:stretch>
                      <a:fillRect/>
                    </a:stretch>
                  </pic:blipFill>
                  <pic:spPr bwMode="auto">
                    <a:xfrm>
                      <a:off x="0" y="0"/>
                      <a:ext cx="5334000" cy="1595736"/>
                    </a:xfrm>
                    <a:prstGeom prst="rect">
                      <a:avLst/>
                    </a:prstGeom>
                    <a:noFill/>
                    <a:ln w="9525">
                      <a:noFill/>
                      <a:headEnd/>
                      <a:tailEnd/>
                    </a:ln>
                  </pic:spPr>
                </pic:pic>
              </a:graphicData>
            </a:graphic>
          </wp:inline>
        </w:drawing>
      </w:r>
    </w:p>
    <w:p>
      <w:pPr>
        <w:pStyle w:val="ImageCaption"/>
      </w:pPr>
      <w:r>
        <w:t xml:space="preserve">Figure 2</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20"/>
    <w:bookmarkStart w:id="21"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w:t>
      </w:r>
    </w:p>
    <w:p>
      <w:pPr>
        <w:pStyle w:val="BodyText"/>
      </w:pPr>
      <w:r>
        <w:t xml:space="preserve">Why the partition has this shape (five categories, not nine). As explained in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§I (a tiny dHash forces a high cosine) holds approximately, not strictly. But the residents’ mass sits immediately below the high-cosine cut — 7,311 of them (95.2%) fall in cosine 0.90–0.95, and only 370 signatures (0.25% of the corpus) reach the genuinely low-cosine bands, of which just 38 lie below the LH/UN crossover (cosine ≤ 0.8547).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§IV-B rather than through a separate cell. Third, a partition should cut only where the resulting actions differ: subdividing the two lower bands by structure would create cells whose dispositions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(§V-A) and no signature-level labels to learn one from, so the cuts are chosen and their specificity is measured, not learned. The four cut values, and where each one comes from — two are read directly from this study’s data — are given in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a reviewer who wants higher specificity can tighten it (§V). (ii) The chance rate we report is a measure of specificity, not a true false-acceptance rate, because we have no labelled negatives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21"/>
    <w:bookmarkStart w:id="22" w:name="X56bf00f22cc75e83937663e50b3b8f89ee236a1"/>
    <w:p>
      <w:pPr>
        <w:pStyle w:val="Heading3"/>
      </w:pPr>
      <w:r>
        <w:t xml:space="preserve">E. The Clean Reference Group and the Chance Rate</w:t>
      </w:r>
    </w:p>
    <w:p>
      <w:pPr>
        <w:pStyle w:val="FirstParagraph"/>
      </w:pPr>
      <w:r>
        <w:t xml:space="preserve">With no labelled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After 2020, formal systems standardize how reports are assembled, so that period is not a clean reference — and indeed the chance rate rises after 2020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labelled negatives. Read as a measure of specificity under the stated assumption (no shared template across accountants), the ICCR is faithful to the evidence; read as a true error rate, it would claim more than we can show.</w:t>
      </w:r>
    </w:p>
    <w:bookmarkEnd w:id="22"/>
    <w:bookmarkEnd w:id="23"/>
    <w:bookmarkStart w:id="36"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test on Firm A.</w:t>
      </w:r>
    </w:p>
    <w:bookmarkStart w:id="27"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whereas both data-derived calibration quantities — the chance-rate ICCR and the low cosine cut (§IV-C) — are computed only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§III-D uses four cut values; we state them here because two are read directly from this study’s data. The low cosine cut, 0.8547, is the crossover of the same-accountant and different-accountant cosine distributions computed on the calibration cell alone (Firms B/C/D, 2013–2019, closed-world: both the source signatures and their comparison set drawn from that cell; §IV-C). We use this closed-world value as the primary cut rather than the corpus-wide crossover, so that the one data-derived threshold in the rule is estimated only on held-out-clean data and never sees Firm A or the post-2020 period. The cut is stable across scopes — 0.8547 (calibration closed-world), 0.8367 corpus-wide, 0.8489 on the all-period baseline firms, 0.8302 with the non-Big-4 firms added; it moves by at most 0.018 across all four, so the choice of scope is immaterial and the broader-scope values stand as robustness checks (§V-C). The high cosine cut, 0.95, is the high-similarity operating point: it sits in the region where genuine reuse concentrates — the byte-identical anchor (§IV-C) lies at cosine 1 — and a recalibration cannot move it onto a distributional antimode because none exists (no within-population bimodality,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behaviour directly (the full prior-calibration provenance is in the supplementary materials), and we make them operator-tunable: their specificity at these values is read off the chance-rate calibration below, and an operator can retune by inverting the ICCR curve (for example, dHash ≤ 3 for a tighter floor). We deliver these as a concrete, calibrated operating point — in particular the high-confidence (HC) rule, cosine &gt; 0.95 and dHash ≤ 5 — and we treat the values as operator-tunable: the calibration below shows what each setting yields, so an operator can retune for a different specificity target (for example dHash ≤ 3 for a tighter floor, by inverting the ICCR curve). Because the rule is calibrated on a large Chinese-signature corpus, the HC values double as a practical reference point that practitioners working with other Chinese-signature corpora can adopt directly or use as a starting reference.</w:t>
      </w:r>
    </w:p>
    <w:p>
      <w:pPr>
        <w:pStyle w:val="CaptionedFigure"/>
      </w:pPr>
      <w:r>
        <w:drawing>
          <wp:inline>
            <wp:extent cx="4682279" cy="3758689"/>
            <wp:effectExtent b="0" l="0" r="0" t="0"/>
            <wp:docPr descr="Figure 3" title="" id="25" name="Picture"/>
            <a:graphic>
              <a:graphicData uri="http://schemas.openxmlformats.org/drawingml/2006/picture">
                <pic:pic>
                  <pic:nvPicPr>
                    <pic:cNvPr descr="/tmp/fig3.png" id="26" name="Picture"/>
                    <pic:cNvPicPr>
                      <a:picLocks noChangeArrowheads="1" noChangeAspect="1"/>
                    </pic:cNvPicPr>
                  </pic:nvPicPr>
                  <pic:blipFill>
                    <a:blip r:embed="rId24"/>
                    <a:stretch>
                      <a:fillRect/>
                    </a:stretch>
                  </pic:blipFill>
                  <pic:spPr bwMode="auto">
                    <a:xfrm>
                      <a:off x="0" y="0"/>
                      <a:ext cx="4682279" cy="3758689"/>
                    </a:xfrm>
                    <a:prstGeom prst="rect">
                      <a:avLst/>
                    </a:prstGeom>
                    <a:noFill/>
                    <a:ln w="9525">
                      <a:noFill/>
                      <a:headEnd/>
                      <a:tailEnd/>
                    </a:ln>
                  </pic:spPr>
                </pic:pic>
              </a:graphicData>
            </a:graphic>
          </wp:inline>
        </w:drawing>
      </w:r>
    </w:p>
    <w:p>
      <w:pPr>
        <w:pStyle w:val="ImageCaption"/>
      </w:pPr>
      <w:r>
        <w:t xml:space="preserve">Figure 3</w:t>
      </w:r>
    </w:p>
    <w:p>
      <w:pPr>
        <w:pStyle w:val="BodyText"/>
      </w:pPr>
      <w:r>
        <w:rPr>
          <w:i/>
          <w:iCs/>
        </w:rPr>
        <w:t xml:space="preserve">Figure 3. The two measures and the five regions. The cosine axis is split at the low cut 0.8547 (the calibration-cell same-vs-different-accountant crossover) and the high cut 0.95; within the high-cosine band the dHash axis is split at 5 and 15. The bottom-right corner — high cosine with near-identical structure — is the high-confidence reuse region.</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234 accountants, 52,079 signatures with both measures computed, and 26,042 reports; the per-comparison ICCR below is estimated from 5×10⁵ inter-CPA signature pairs sampled uniformly from this cell. Every ICCR source signature is restricted to this cell — the headline per-signature and per-document rates reproduce on the n = 52,079 source signatures of the 2013–2019 cell, not on the full-period BCD record (~90,000 signatures), which is used only where a robustness figure is explicitly quoted — so no post-2020 or Firm-A signature enters the calibration.</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rule — 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HC rule — 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30.91%</w:t>
            </w:r>
          </w:p>
        </w:tc>
        <w:tc>
          <w:tcPr/>
          <w:p>
            <w:pPr>
              <w:pStyle w:val="Compact"/>
            </w:pPr>
            <w:r>
              <w:t xml:space="preserve">0.35%</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35.53%</w:t>
            </w:r>
          </w:p>
        </w:tc>
        <w:tc>
          <w:tcPr/>
          <w:p>
            <w:pPr>
              <w:pStyle w:val="Compact"/>
            </w:pPr>
            <w:r>
              <w:t xml:space="preserve">0.43%</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47.35%</w:t>
            </w:r>
          </w:p>
        </w:tc>
        <w:tc>
          <w:tcPr/>
          <w:p>
            <w:pPr>
              <w:pStyle w:val="Compact"/>
            </w:pPr>
            <w:r>
              <w:t xml:space="preserve">0.76%</w:t>
            </w:r>
          </w:p>
        </w:tc>
        <w:tc>
          <w:tcPr/>
          <w:p>
            <w:pPr>
              <w:pStyle w:val="Compact"/>
            </w:pPr>
            <w:r>
              <w:t xml:space="preserve">9,945</w:t>
            </w:r>
          </w:p>
        </w:tc>
      </w:tr>
    </w:tbl>
    <w:bookmarkEnd w:id="27"/>
    <w:bookmarkStart w:id="28"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23.6%, HSC 0.2%, LH 0.2%. The ambiguous middle (MC + UN) is therefore not a fringe: about half of all four-firm signatures, and 65–76% at Firms B/C/D individually, against 18.2% at Firm A. Read against the institutional background (§III-A), this is exactly the expected shape. Firm A is a reuse-dominated population, where the screen settles most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per signature (98.2% per report), confirming that a UN flag is essentially uninformative about reuse on its own, whereas the HSC band is reached by chance only about 0.13% of the time per signature (0.25% per report) and in any case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That the rule captures 100% of the byte-identical set is also the system’s one threshold-free sanity check.</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the upload platform is itself an empirical question, and we checked: we verified across a stratified sample of MOPS reports (all four firms, 2014–2022) that producer/creator strings, PDF versions, and image encodings are heterogeneous report-to-report — distinct scanner models (Fuji Xerox D125, ApeosPort-III/IV/V), born-digital producers (Microsoft Word, Adobe, Acrobat Distiller), and a mix of CCITT-grayscale and JPEG-RGB encodings at differing resolutions — so the platform does not flatten uploads to a uniform template and the acquisition history is recoverable here; firms’ own internal archives necessarily retain it.) A small labelled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In a reuse-dominated population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28"/>
    <w:bookmarkStart w:id="35" w:name="c.-held-out-test-firm-a"/>
    <w:p>
      <w:pPr>
        <w:pStyle w:val="Heading3"/>
      </w:pPr>
      <w:r>
        <w:t xml:space="preserve">C. Held-Out Test: Firm A</w:t>
      </w:r>
    </w:p>
    <w:p>
      <w:pPr>
        <w:pStyle w:val="FirstParagraph"/>
      </w:pPr>
      <w:r>
        <w:t xml:space="preserve">Firm A — described by the interviews as a mainly-stamping firm, and kept out of the calibration — is our main test.</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true held-out case — Firm A’s signatures matched against unrelated accountants drawn from the clean 2013–2019 group — Firm A’s per-signature HC chance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 about 139 times the clean floor — versus 24–35% for Firms B/C/D (about 40–59 times).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CaptionedFigure"/>
      </w:pPr>
      <w:r>
        <w:drawing>
          <wp:inline>
            <wp:extent cx="5334000" cy="2122193"/>
            <wp:effectExtent b="0" l="0" r="0" t="0"/>
            <wp:docPr descr="Figure 4" title="" id="30" name="Picture"/>
            <a:graphic>
              <a:graphicData uri="http://schemas.openxmlformats.org/drawingml/2006/picture">
                <pic:pic>
                  <pic:nvPicPr>
                    <pic:cNvPr descr="/tmp/fig4.png" id="31" name="Picture"/>
                    <pic:cNvPicPr>
                      <a:picLocks noChangeArrowheads="1" noChangeAspect="1"/>
                    </pic:cNvPicPr>
                  </pic:nvPicPr>
                  <pic:blipFill>
                    <a:blip r:embed="rId29"/>
                    <a:stretch>
                      <a:fillRect/>
                    </a:stretch>
                  </pic:blipFill>
                  <pic:spPr bwMode="auto">
                    <a:xfrm>
                      <a:off x="0" y="0"/>
                      <a:ext cx="5334000" cy="2122193"/>
                    </a:xfrm>
                    <a:prstGeom prst="rect">
                      <a:avLst/>
                    </a:prstGeom>
                    <a:noFill/>
                    <a:ln w="9525">
                      <a:noFill/>
                      <a:headEnd/>
                      <a:tailEnd/>
                    </a:ln>
                  </pic:spPr>
                </pic:pic>
              </a:graphicData>
            </a:graphic>
          </wp:inline>
        </w:drawing>
      </w:r>
    </w:p>
    <w:p>
      <w:pPr>
        <w:pStyle w:val="ImageCaption"/>
      </w:pPr>
      <w:r>
        <w:t xml:space="preserve">Figure 4</w:t>
      </w:r>
    </w:p>
    <w:p>
      <w:pPr>
        <w:pStyle w:val="BodyText"/>
      </w:pPr>
      <w:r>
        <w:rPr>
          <w:i/>
          <w:iCs/>
        </w:rPr>
        <w:t xml:space="preserve">Figure 4 — Within-accountant similarities, Firm A vs Firms B/C/D: (a) cosine, (b) dHash. Firm A’s mass sits near cosine = 1 and dHash = 0 (medians 0.986 / 2) against Firms B/C/D’s 0.959 / 7; dashed lines mark the cuts (cosine 0.95; dHash 5), the dotted line the LH/UN crossover (0.8547).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CaptionedFigure"/>
      </w:pPr>
      <w:r>
        <w:drawing>
          <wp:inline>
            <wp:extent cx="5334000" cy="1975888"/>
            <wp:effectExtent b="0" l="0" r="0" t="0"/>
            <wp:docPr descr="Figure 5" title="" id="33" name="Picture"/>
            <a:graphic>
              <a:graphicData uri="http://schemas.openxmlformats.org/drawingml/2006/picture">
                <pic:pic>
                  <pic:nvPicPr>
                    <pic:cNvPr descr="/tmp/fig5.png" id="34" name="Picture"/>
                    <pic:cNvPicPr>
                      <a:picLocks noChangeArrowheads="1" noChangeAspect="1"/>
                    </pic:cNvPicPr>
                  </pic:nvPicPr>
                  <pic:blipFill>
                    <a:blip r:embed="rId32"/>
                    <a:stretch>
                      <a:fillRect/>
                    </a:stretch>
                  </pic:blipFill>
                  <pic:spPr bwMode="auto">
                    <a:xfrm>
                      <a:off x="0" y="0"/>
                      <a:ext cx="5334000" cy="1975888"/>
                    </a:xfrm>
                    <a:prstGeom prst="rect">
                      <a:avLst/>
                    </a:prstGeom>
                    <a:noFill/>
                    <a:ln w="9525">
                      <a:noFill/>
                      <a:headEnd/>
                      <a:tailEnd/>
                    </a:ln>
                  </pic:spPr>
                </pic:pic>
              </a:graphicData>
            </a:graphic>
          </wp:inline>
        </w:drawing>
      </w:r>
    </w:p>
    <w:p>
      <w:pPr>
        <w:pStyle w:val="ImageCaption"/>
      </w:pPr>
      <w:r>
        <w:t xml:space="preserve">Figure 5</w:t>
      </w:r>
    </w:p>
    <w:p>
      <w:pPr>
        <w:pStyle w:val="BodyText"/>
      </w:pPr>
      <w:r>
        <w:rPr>
          <w:i/>
          <w:iCs/>
        </w:rPr>
        <w:t xml:space="preserve">Figure 5 — Per-accountant HC rate, ranked, one panel per period (2013–2019; 2020–2023), points coloured by firm (accountants with ≥ 5 signatures in the period). Firm A (red) occupies the templated top of the ranking in both periods; Firms B/C/D rise after 2020 (HC rate B 29.0→42.0%, C 21.6→26.7%, D 22.0→28.0%; Firm A 80.3→83.8%), consistent with staggered formal-system adoption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7.35%</w:t>
            </w:r>
          </w:p>
        </w:tc>
        <w:tc>
          <w:tcPr/>
          <w:p>
            <w:pPr>
              <w:pStyle w:val="Compact"/>
            </w:pPr>
            <w:r>
              <w:t xml:space="preserve">0.14%</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28.95%</w:t>
            </w:r>
          </w:p>
        </w:tc>
        <w:tc>
          <w:tcPr/>
          <w:p>
            <w:pPr>
              <w:pStyle w:val="Compact"/>
            </w:pPr>
            <w:r>
              <w:t xml:space="preserve">0.32%</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33.97%</w:t>
            </w:r>
          </w:p>
        </w:tc>
        <w:tc>
          <w:tcPr/>
          <w:p>
            <w:pPr>
              <w:pStyle w:val="Compact"/>
            </w:pPr>
            <w:r>
              <w:t xml:space="preserve">0.47%</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45.28%</w:t>
            </w:r>
          </w:p>
        </w:tc>
        <w:tc>
          <w:tcPr/>
          <w:p>
            <w:pPr>
              <w:pStyle w:val="Compact"/>
            </w:pPr>
            <w:r>
              <w:t xml:space="preserve">0.66%</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23.42%</w:t>
            </w:r>
          </w:p>
        </w:tc>
        <w:tc>
          <w:tcPr/>
          <w:p>
            <w:pPr>
              <w:pStyle w:val="Compact"/>
            </w:pPr>
            <w:r>
              <w:t xml:space="preserve">0.32%</w:t>
            </w:r>
          </w:p>
        </w:tc>
        <w:tc>
          <w:tcPr/>
          <w:p>
            <w:pPr>
              <w:pStyle w:val="Compact"/>
            </w:pPr>
            <w:r>
              <w:t xml:space="preserve">150,442</w:t>
            </w:r>
          </w:p>
        </w:tc>
      </w:tr>
    </w:tbl>
    <w:p>
      <w:pPr>
        <w:pStyle w:val="BodyText"/>
      </w:pPr>
      <w:r>
        <w:t xml:space="preserve">Reading the five-way mix across firms. Table IV is also the quantitative basis for the positioning in §IV-B. At Firm A the ambiguous middle (MC + UN) is 18.2% — the screen reads a reuse-dominated population almost cleanly, with four signatures in five settled outright. At Firms B/C/D the middle is 65–76% — the signature of a mixed population in which hand-signing and informal stamping coexist (§III-A), where per-signature similarity is genuinely ambiguous. There the screen’s deliverables move up one level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 rule catches 100% of them, which confirms it misses no clear-cut case of reuse; we note this only as a sanity check and a lower bound on recall for the clearest cases, since for our rule a byte-identical pair (cosine = 1, dHash = 0) must land in HC by definition.</w:t>
      </w:r>
    </w:p>
    <w:bookmarkEnd w:id="35"/>
    <w:bookmarkEnd w:id="36"/>
    <w:bookmarkStart w:id="40"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37" w:name="Xfcbc9b16dca111abcf1b03775124867daf71f74"/>
    <w:p>
      <w:pPr>
        <w:pStyle w:val="Heading3"/>
      </w:pPr>
      <w:r>
        <w:t xml:space="preserve">A. Why the Data Contain No Natural Cutoff</w:t>
      </w:r>
    </w:p>
    <w:p>
      <w:pPr>
        <w:pStyle w:val="FirstParagraph"/>
      </w:pPr>
      <w:r>
        <w:t xml:space="preserve">This diagnostic backs the design choice announced in §III-D and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(§III-E) rather than read off the data, and why the three groups used for description in §IV-C are treated as a summary of composition, not as real mechanisms.</w:t>
      </w:r>
    </w:p>
    <w:bookmarkEnd w:id="37"/>
    <w:bookmarkStart w:id="38" w:name="b.-the-baseline-after-2020-secondary"/>
    <w:p>
      <w:pPr>
        <w:pStyle w:val="Heading3"/>
      </w:pPr>
      <w:r>
        <w:t xml:space="preserve">B. The Baseline After 2020 (Secondary)</w:t>
      </w:r>
    </w:p>
    <w:p>
      <w:pPr>
        <w:pStyle w:val="FirstParagraph"/>
      </w:pPr>
      <w:r>
        <w:t xml:space="preserve">Looking only at Firms B/C/D, the strict rule’s chance rate rises after 2020 (per comparison from 1.0×10⁻⁵ to 3.6×10⁻⁵; per signature from 0.59% to 1.05%). The rise is gradual rather than a sudden step, which fits the staggered, firm-by-firm adoption of formal systems described in §III-A; the same gradual rise shows in the deployed HC rate by firm (Firm B 29.0→42.0%, Firm C 21.6→26.7%, Firm D 22.0→28.0% across the two periods, §IV-C). We read this as the system registering a shift over time in the similarity numbers, and we use it to justify limiting the calibration to the pre-2020 years. We do not claim to have detected the adoption of electronic signatures as such, because a post-2020 rise in image similarity could just as easily come from changes in scanning and document-production pipelines at the same time (§III-D). This analysis is secondary and could move to an appendix.</w:t>
      </w:r>
    </w:p>
    <w:bookmarkEnd w:id="38"/>
    <w:bookmarkStart w:id="39"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 The MC/HSC boundary at dHash = 15 sits in a flat (saturating) region, where moving the line adds flagged cases without adding specificity; this is a further reason to treat the MC band as advisory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The same-pair variant. Recomputing the rule so that a single partner signature must satisfy both inequalities at once (the same-pair rule of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(§I,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behaviour, it yields the highest Firm A all-pairs 1st-percentile similarity (0.543), and its 2048-dim features are a practical compromise for processing 182K+ signatures. The comparison supports ResNet-50.</w:t>
      </w:r>
    </w:p>
    <w:bookmarkEnd w:id="39"/>
    <w:bookmarkEnd w:id="40"/>
    <w:bookmarkStart w:id="41"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labelled data we cannot get, a calibration based on how often the rule fires by chance in a clean reference group. That calibration yields both a measure of specificity and a concrete operating point: the high-confidence rule almost never fires by chance on the clean group, so it is a usable, highly specific screen, with a defined, bounded human-review protocol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transfers as a practical reference point for other Chinese-signature settings and, in principle, to other scripts. Held out as a test,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chance rate read as a measure of specificity, not a true false-acceptance rate.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behavioural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should contain both a tight recurring sub-cluster and a dispersed remainder. We view this as the highest-value methodological extension, while noting honestly that it narrows but does not remove the fundamental ambiguity: a very steady hand and a noisy reused image can still meet in the middle of any set-level statistic. A first-pass probe on the calibration cell is consistent with this caution — across the 206 Firms-B/C/D 2013–2019 accountants with sufficient signatures, the within-accountant similarity forms a continuum that piles up just below the high-similarity cut rather than splitting into a tight reused cluster and a dispersed hand-signed cloud (no accountant shows a tight-versus-remainder cosine gap above 0.10), so the no-natural-cutoff structure of §V-A recurs at the accountant level; we therefore treat set-level adjudication as a research direction rather than a ready robustness result. Second, executing the review protocol of §IV-B on a bounded sample — its first run — would both test the protocol’s expected discriminating behavior and accumulate the small human-labelled set that permits supervised validation and direct error rates. Third, image-acquisition metadata (scanner identifiers, PDF-generator fingerprints, compression markers) would resolve the pipeline-versus-reuse ambiguity that similarity alone cannot; we have confirmed this provenance survives in the present corpus rather than being flattened by the platform (§IV-B, Move 4). Fourth, the audit-quality question itself: whether firm-level signing patterns correlate with audit outcomes, for which this screening supplies the measurement layer.</w:t>
      </w:r>
    </w:p>
    <w:bookmarkEnd w:id="41"/>
    <w:bookmarkStart w:id="44" w:name="X5ec211f8f647f2530cda96590881ae466083fd8"/>
    <w:p>
      <w:pPr>
        <w:pStyle w:val="Heading2"/>
      </w:pPr>
      <w:r>
        <w:t xml:space="preserve">Appendix A. Supplementary Diagnostic Detail</w:t>
      </w:r>
    </w:p>
    <w:bookmarkStart w:id="42" w:name="X98d555d53b53facf0feec2d9a685f7a51881a1a"/>
    <w:p>
      <w:pPr>
        <w:pStyle w:val="Heading3"/>
      </w:pPr>
      <w:r>
        <w:t xml:space="preserve">A.1. BD/McCrary Bin-Width Sensitivity (Signature Level)</w:t>
      </w:r>
    </w:p>
    <w:p>
      <w:pPr>
        <w:pStyle w:val="FirstParagraph"/>
      </w:pPr>
      <w:r>
        <w:t xml:space="preserve">The main text (§III-D,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(§V-A).</w:t>
      </w:r>
    </w:p>
    <w:bookmarkEnd w:id="42"/>
    <w:bookmarkStart w:id="43"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(§V-A)</w:t>
            </w:r>
          </w:p>
        </w:tc>
        <w:tc>
          <w:tcPr/>
          <w:p>
            <w:pPr>
              <w:pStyle w:val="Compact"/>
            </w:pPr>
            <w:r>
              <w:t xml:space="preserve">Whether descriptor multimodality is within-population (mechanism) or between-group (composition + integer artefact); p_median = 0.35 under joint firm-mean centring + integer-tie jitter</w:t>
            </w:r>
          </w:p>
        </w:tc>
        <w:tc>
          <w:tcPr/>
          <w:p>
            <w:pPr>
              <w:pStyle w:val="Compact"/>
            </w:pPr>
            <w:r>
              <w:t xml:space="preserve">Integer-tie jitter and firm-mean centring are unbiased over the descriptor support</w:t>
            </w:r>
          </w:p>
        </w:tc>
      </w:tr>
      <w:tr>
        <w:tc>
          <w:tcPr/>
          <w:p>
            <w:pPr>
              <w:pStyle w:val="Compact"/>
            </w:pPr>
            <w:r>
              <w:t xml:space="preserve">Per-comparison ICCR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(§IV-C,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(§IV-C)</w:t>
            </w:r>
          </w:p>
        </w:tc>
        <w:tc>
          <w:tcPr/>
          <w:p>
            <w:pPr>
              <w:pStyle w:val="Compact"/>
            </w:pPr>
            <w:r>
              <w:t xml:space="preserve">Sanity check on the conservative positive anchor</w:t>
            </w:r>
          </w:p>
        </w:tc>
        <w:tc>
          <w:tcPr/>
          <w:p>
            <w:pPr>
              <w:pStyle w:val="Compact"/>
            </w:pPr>
            <w:r>
              <w:t xml:space="preserve">Anchor is tautologically captured by any reasonable threshold</w:t>
            </w:r>
          </w:p>
        </w:tc>
      </w:tr>
    </w:tbl>
    <w:bookmarkEnd w:id="43"/>
    <w:bookmarkEnd w:id="44"/>
    <w:bookmarkStart w:id="45"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45"/>
    <w:bookmarkStart w:id="46"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2013.</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46"/>
    <w:bookmarkStart w:id="47"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§III-A (a de-identified subset and the per-table provenance mapping are included, with the full image set available to reviewers under the platform’s public-data terms).</w:t>
      </w:r>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7" Target="media/rId17.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2026-06-14T19:10:58Z</dcterms:created>
  <dcterms:modified xsi:type="dcterms:W3CDTF">2026-06-14T19:10:58Z</dcterms:modified>
</cp:coreProperties>
</file>

<file path=docProps/custom.xml><?xml version="1.0" encoding="utf-8"?>
<Properties xmlns="http://schemas.openxmlformats.org/officeDocument/2006/custom-properties" xmlns:vt="http://schemas.openxmlformats.org/officeDocument/2006/docPropsVTypes"/>
</file>