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rate — while its cross-firm match rate sits at or below the clean reference rate and is negligible beside its within-firm matching,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17"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3"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3"/>
    <w:bookmarkStart w:id="14"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14"/>
    <w:bookmarkStart w:id="15"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28 lie below the LH/UN crossover.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15"/>
    <w:bookmarkStart w:id="16"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16"/>
    <w:bookmarkEnd w:id="17"/>
    <w:bookmarkStart w:id="27"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18"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and so is the low cosine cut (§IV-C); only the chance-rate calibration that follows — the ICCR — is computed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0.837, is the crossover of the same-accountant and different-accountant cosine distributions, computed corpus-wide (§IV-C); it is stable across scopes — 0.8367 corpus-wide, 0.8489 on the baseline firms, and 0.8302 with the non-Big-4 firms added (it moves by at most 0.012) — so we use the corpus-wide value. The high cosine cut, 0.95, is the high-similarity operating point: it sits in the region where genuine reuse concentrates — the byte-identical anchor (§IV-C) lies at cosine 1 — and a recalibration cannot move it onto a distributional antimode because none exists (no within-population bimodality,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behaviour directly (the full prior-calibration provenance is in the supplementary materials), and we make them operator-tunable: their specificity at these values is read off the chance-rate calibration below, and an operator can retune by inverting the ICCR curve (for example, dHash ≤ 3 for a tighter floor).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BodyText"/>
      </w:pPr>
      <w:r>
        <w:rPr>
          <w:i/>
          <w:iCs/>
        </w:rPr>
        <w:t xml:space="preserve">Figure 3. The two measures and the five regions. The cosine axis is split at the low cut 0.837 (the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234 accountants, 52,079 signatures with both measures computed, and 26,042 reports; the per-comparison ICCR below is estimated from 5×10⁵ inter-CPA signature pairs sampled uniformly from this cell.</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31.08%</w:t>
            </w:r>
          </w:p>
        </w:tc>
        <w:tc>
          <w:tcPr/>
          <w:p>
            <w:pPr>
              <w:pStyle w:val="Compact"/>
            </w:pPr>
            <w:r>
              <w:t xml:space="preserve">0.18%</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35.74%</w:t>
            </w:r>
          </w:p>
        </w:tc>
        <w:tc>
          <w:tcPr/>
          <w:p>
            <w:pPr>
              <w:pStyle w:val="Compact"/>
            </w:pPr>
            <w:r>
              <w:t xml:space="preserve">0.22%</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47.77%</w:t>
            </w:r>
          </w:p>
        </w:tc>
        <w:tc>
          <w:tcPr/>
          <w:p>
            <w:pPr>
              <w:pStyle w:val="Compact"/>
            </w:pPr>
            <w:r>
              <w:t xml:space="preserve">0.34%</w:t>
            </w:r>
          </w:p>
        </w:tc>
        <w:tc>
          <w:tcPr/>
          <w:p>
            <w:pPr>
              <w:pStyle w:val="Compact"/>
            </w:pPr>
            <w:r>
              <w:t xml:space="preserve">9,945</w:t>
            </w:r>
          </w:p>
        </w:tc>
      </w:tr>
    </w:tbl>
    <w:bookmarkEnd w:id="18"/>
    <w:bookmarkStart w:id="19"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23.6%, HSC 0.2%, LH 0.2%. The ambiguous middle (MC + UN) is therefore not a fringe: about half of all four-firm signatures, and 65–76% at Firms B/C/D individually, against 18.2%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confirming that a UN flag is essentially uninformative about reuse on its own, whereas the HSC band is reached by chance only about 0.13% of the time but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in our corpus is itself an empirical question: the MOPS platform may re-render or re-compress uploaded PDFs and flatten such traces; the availability of this resolution path for the present corpus is therefore to be verified, whereas firms’ own internal archives necessarily retain it.)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19"/>
    <w:bookmarkStart w:id="26"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CaptionedFigure"/>
      </w:pPr>
      <w:r>
        <w:drawing>
          <wp:inline>
            <wp:extent cx="5334000" cy="2122193"/>
            <wp:effectExtent b="0" l="0" r="0" t="0"/>
            <wp:docPr descr="Figure 4" title="" id="21" name="Picture"/>
            <a:graphic>
              <a:graphicData uri="http://schemas.openxmlformats.org/drawingml/2006/picture">
                <pic:pic>
                  <pic:nvPicPr>
                    <pic:cNvPr descr="/tmp/fig4.png" id="22" name="Picture"/>
                    <pic:cNvPicPr>
                      <a:picLocks noChangeArrowheads="1" noChangeAspect="1"/>
                    </pic:cNvPicPr>
                  </pic:nvPicPr>
                  <pic:blipFill>
                    <a:blip r:embed="rId20"/>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(0.837).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24" name="Picture"/>
            <a:graphic>
              <a:graphicData uri="http://schemas.openxmlformats.org/drawingml/2006/picture">
                <pic:pic>
                  <pic:nvPicPr>
                    <pic:cNvPr descr="/tmp/fig5.png" id="25" name="Picture"/>
                    <pic:cNvPicPr>
                      <a:picLocks noChangeArrowheads="1" noChangeAspect="1"/>
                    </pic:cNvPicPr>
                  </pic:nvPicPr>
                  <pic:blipFill>
                    <a:blip r:embed="rId23"/>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coloured by firm (accountants with ≥ 5 signatures in the period). Firm A (red) occupies the templated top of the ranking in both periods; Firms B/C/D rise after 2020 (HC rate B 29.0→42.0%, C 21.6→26.7%, D 22.0→28.0%; Firm A 80.3→83.8%), consistent with staggered formal-system adoption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7.42%</w:t>
            </w:r>
          </w:p>
        </w:tc>
        <w:tc>
          <w:tcPr/>
          <w:p>
            <w:pPr>
              <w:pStyle w:val="Compact"/>
            </w:pPr>
            <w:r>
              <w:t xml:space="preserve">0.07%</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29.09%</w:t>
            </w:r>
          </w:p>
        </w:tc>
        <w:tc>
          <w:tcPr/>
          <w:p>
            <w:pPr>
              <w:pStyle w:val="Compact"/>
            </w:pPr>
            <w:r>
              <w:t xml:space="preserve">0.18%</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34.21%</w:t>
            </w:r>
          </w:p>
        </w:tc>
        <w:tc>
          <w:tcPr/>
          <w:p>
            <w:pPr>
              <w:pStyle w:val="Compact"/>
            </w:pPr>
            <w:r>
              <w:t xml:space="preserve">0.22%</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45.65%</w:t>
            </w:r>
          </w:p>
        </w:tc>
        <w:tc>
          <w:tcPr/>
          <w:p>
            <w:pPr>
              <w:pStyle w:val="Compact"/>
            </w:pPr>
            <w:r>
              <w:t xml:space="preserve">0.29%</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23.58%</w:t>
            </w:r>
          </w:p>
        </w:tc>
        <w:tc>
          <w:tcPr/>
          <w:p>
            <w:pPr>
              <w:pStyle w:val="Compact"/>
            </w:pPr>
            <w:r>
              <w:t xml:space="preserve">0.16%</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18.2% — the screen reads a reuse-dominated population almost cleanly, with four signatures in five settled outright. At Firms B/C/D the middle is 65–76% — the signature of a mixed population in which hand-signing and informal stamping coexist (§III-A), where per-signature similarity is genuinely ambiguous. There the screen’s deliverables move up one level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26"/>
    <w:bookmarkEnd w:id="27"/>
    <w:bookmarkStart w:id="31"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28"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28"/>
    <w:bookmarkStart w:id="29"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29"/>
    <w:bookmarkStart w:id="30"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30"/>
    <w:bookmarkEnd w:id="31"/>
    <w:bookmarkStart w:id="32"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should contain both a tight recurring sub-cluster and a dispersed remainder. We view this as the highest-value methodological extension, while noting honestly that it narrows but does not remove the fundamental ambiguity: a very steady hand and a noisy reused image can still meet in the middle of any set-level statistic.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would resolve the pipeline-versus-reuse ambiguity that similarity alone cannot, where the platform has not flattened it (§IV-B, Move 4). Fourth, the audit-quality question itself: whether firm-level signing patterns correlate with audit outcomes, for which this screening supplies the measurement layer.</w:t>
      </w:r>
    </w:p>
    <w:bookmarkEnd w:id="32"/>
    <w:bookmarkStart w:id="35" w:name="X5ec211f8f647f2530cda96590881ae466083fd8"/>
    <w:p>
      <w:pPr>
        <w:pStyle w:val="Heading2"/>
      </w:pPr>
      <w:r>
        <w:t xml:space="preserve">Appendix A. Supplementary Diagnostic Detail</w:t>
      </w:r>
    </w:p>
    <w:bookmarkStart w:id="33"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33"/>
    <w:bookmarkStart w:id="34"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34"/>
    <w:bookmarkEnd w:id="35"/>
    <w:bookmarkStart w:id="36"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36"/>
    <w:bookmarkStart w:id="37"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37"/>
    <w:bookmarkStart w:id="38"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§III-A (a de-identified subset and the per-table provenance mapping are included, with the full image set available to reviewers under the platform’s public-data terms).</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0" Target="media/rId2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2026-06-14T18:33:05Z</dcterms:created>
  <dcterms:modified xsi:type="dcterms:W3CDTF">2026-06-14T18:33:05Z</dcterms:modified>
</cp:coreProperties>
</file>

<file path=docProps/custom.xml><?xml version="1.0" encoding="utf-8"?>
<Properties xmlns="http://schemas.openxmlformats.org/officeDocument/2006/custom-properties" xmlns:vt="http://schemas.openxmlformats.org/officeDocument/2006/docPropsVTypes"/>
</file>