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Times New Roman" w:hAnsi="Times New Roman"/>
          <w:b/>
          <w:sz w:val="32"/>
        </w:rPr>
        <w:t>Automated Identification of Non-Hand-Signed Auditor Signatures</w:t>
        <w:br/>
        <w:t>in Large-Scale Financial Audit Reports:</w:t>
        <w:br/>
        <w:t>A Dual-Descriptor Framework with Replication-Dominated Calibration</w:t>
      </w:r>
    </w:p>
    <w:p>
      <w:pPr>
        <w:spacing w:after="120"/>
        <w:jc w:val="center"/>
      </w:pPr>
      <w:r>
        <w:rPr>
          <w:sz w:val="22"/>
        </w:rPr>
        <w:t>[AUTHOR NAMES — fill in before submission]</w:t>
      </w:r>
    </w:p>
    <w:p>
      <w:pPr>
        <w:spacing w:after="120"/>
        <w:jc w:val="center"/>
      </w:pPr>
      <w:r>
        <w:rPr>
          <w:i/>
          <w:sz w:val="20"/>
        </w:rPr>
        <w:t>[Affiliations and corresponding-author email — fill in before submission]</w:t>
      </w:r>
    </w:p>
    <w:p>
      <w:pPr>
        <w:spacing w:after="400"/>
        <w:jc w:val="center"/>
      </w:pPr>
      <w:r>
        <w:rPr>
          <w:i/>
          <w:sz w:val="20"/>
        </w:rPr>
        <w:t>Target journal: IEEE Access (Regular Paper, single-anonymized review)</w:t>
      </w:r>
    </w:p>
    <w:p>
      <w:pPr>
        <w:pStyle w:val="Heading1"/>
      </w:pPr>
      <w:r>
        <w:rPr>
          <w:color w:val="000000"/>
        </w:rPr>
        <w:t>Abstract</w:t>
      </w:r>
    </w:p>
    <w:p>
      <w:pPr>
        <w:spacing w:after="120"/>
      </w:pPr>
      <w:r>
        <w:rPr>
          <w:rFonts w:ascii="Times New Roman" w:hAnsi="Times New Roman"/>
          <w:sz w:val="20"/>
        </w:rPr>
        <w:t>Regulations require Certified Public Accountants (CPAs) to attest to each audit report by affixing a signature, but digitization makes reusing a stored signature image across reports—through administrative stamping or firm-level electronic signing—technically trivial and visually invisible to report users, undermining individualized attestation. We build an end-to-end pipeline that detects such non-hand-signed signatures at scale: a Vision-Language Model identifies signature pages, a YOLOv11 detector localizes signature regions, ResNet-50 supplies deep features, and a dual-descriptor verification layer combines deep-feature cosine similarity with perceptual hashing (difference hash, dHash) to separate style consistency (high cosine, divergent dHash) from image reproduction (high cosine, low dHash). The operational classifier outputs a five-way verdict per signature with a worst-case document-level aggregation; the cosine cut is anchored on a transparent whole-sample Firm A P7.5 percentile (cos $&gt; 0.95$), and the dHash cuts on the same reference. Applied to 90,282 audit reports filed in Taiwan over 2013-2023 (182,328 signatures from 758 CPAs), the operational dual rule cos $&gt; 0.95$ AND $\text{dHash}_\text{indep} \leq 8$ captures 89.95\% of Firm A and yields FAR $\leq$ 0.001 against a $\sim$50,000-pair inter-CPA negative anchor; intra-report agreement is 89.9\% at Firm A versus 62-67\% at the other Big-4 firms (a 23-28 percentage-point cross-firm gap). Validation uses three annotation-free anchors (310 byte-identical positives, $\sim$50,000 inter-CPA negatives, and a 70/30 held-out Firm A fold) reported with Wilson 95\% intervals. Three statistical diagnostics applied to the per-signature similarity distribution (Hartigan dip test, EM-fitted Beta mixture with logit-Gaussian robustness check, Burgstahler-Dichev / McCrary density-smoothness procedure) jointly characterise the distribution as a continuous quality spectrum, which motivates the percentile-based anchor and is itself a substantive finding for similarity-threshold selection in document forensics.</w:t>
      </w:r>
    </w:p>
    <w:p>
      <w:pPr>
        <w:pStyle w:val="Heading1"/>
      </w:pPr>
      <w:r>
        <w:rPr>
          <w:color w:val="000000"/>
        </w:rPr>
        <w:t>I. Introduction</w:t>
      </w:r>
    </w:p>
    <w:p>
      <w:pPr>
        <w:spacing w:after="120"/>
      </w:pPr>
      <w:r>
        <w:rPr>
          <w:rFonts w:ascii="Times New Roman" w:hAnsi="Times New Roman"/>
          <w:sz w:val="20"/>
        </w:rPr>
        <w:t>Financial audit reports serve as a critical mechanism for ensuring corporate accountability and investor protection. In Taiwan, the Certified Public Accountant Act (會計師法 §4) and the Financial Supervisory Commission's attestation regulations (查核簽證核准準則 §6) require that certifying CPAs affix their signature or seal (簽名或蓋章) to each audit report [1]. While the law permits either a handwritten signature or a seal, the CPA's attestation on each report is intended to represent a deliberate, individual act of professional endorsement for that specific audit engagement [2].</w:t>
      </w:r>
    </w:p>
    <w:p>
      <w:pPr>
        <w:spacing w:after="120"/>
      </w:pPr>
      <w:r>
        <w:rPr>
          <w:rFonts w:ascii="Times New Roman" w:hAnsi="Times New Roman"/>
          <w:sz w:val="20"/>
        </w:rPr>
        <w:t>The digitization of financial reporting has introduced a practice that complicates this intent. As audit reports are now routinely generated, transmitted, and archived as PDF documents, it is technically and operationally straightforward to reproduce a CPA's stored signature image across many reports rather than re-executing the signing act for each one. This reproduction can occur either through an administrative stamping workflow—in which scanned signature images are affixed by staff as part of the report-assembly process—or through a firm-level electronic signing system that automates the same step. From the perspective of the output image the two workflows are equivalent: both can reproduce one or more stored signature images, producing same-CPA signatures that are identical or near-identical up to reproduction, scanning, compression, and template-variant noise. We refer to signatures produced by either workflow collectively as non-hand-signed. Although this practice may fall within the literal statutory requirement of "signature or seal," it raises substantive concerns about audit quality, as an identically reproduced signature applied across hundreds of reports may not represent meaningful individual attestation for each engagement. The accounting literature has long examined the audit-quality consequences of partner-level engagement transparency: studies of partner-signature mandates in the United Kingdom find measurable downstream effects [31], cross-jurisdictional evidence on individual partner signature requirements highlights similar quality channels [32], and Taiwan-specific evidence on mandatory partner rotation documents how individual-partner identification interacts with audit-quality outcomes [33]. Unlike traditional signature forgery, where a third party attempts to imitate another person's handwriting, non-hand-signing involves the legitimate signer's own stored signature being reused. This practice, while potentially widespread, is visually invisible to report users and virtually undetectable through manual inspection at scale: regulatory agencies overseeing thousands of publicly listed companies cannot feasibly examine each signature for evidence of image reproduction.</w:t>
      </w:r>
    </w:p>
    <w:p>
      <w:pPr>
        <w:spacing w:after="120"/>
      </w:pPr>
      <w:r>
        <w:rPr>
          <w:rFonts w:ascii="Times New Roman" w:hAnsi="Times New Roman"/>
          <w:sz w:val="20"/>
        </w:rPr>
        <w:t>The distinction between non-hand-signing detection and signature forgery detection is both conceptually and technically important. The extensive body of research on offline signature verification [3]--[8] has focused almost exclusively on forgery detection—determining whether a questioned signature was produced by its purported author or by an impostor. This framing presupposes that the central threat is identity fraud. In our context, identity is not in question; the CPA is indeed the legitimate signer. The question is whether the physical act of signing occurred for each individual report, or whether a single signing event was reproduced as an image across many reports. This detection problem differs fundamentally from forgery detection: while it does not require modeling skilled-forger variability, it introduces the distinct challenge of separating legitimate intra-signer consistency from image-level reproduction, requiring an analytical framework focused on detecting abnormally high similarity across documents.</w:t>
      </w:r>
    </w:p>
    <w:p>
      <w:pPr>
        <w:spacing w:after="120"/>
      </w:pPr>
      <w:r>
        <w:rPr>
          <w:rFonts w:ascii="Times New Roman" w:hAnsi="Times New Roman"/>
          <w:sz w:val="20"/>
        </w:rPr>
        <w:t>A secondary methodological concern shapes the research design. Many prior similarity-based classification studies rely on ad-hoc thresholds—declaring two images equivalent above a hand-picked cosine cutoff, for example—without principled statistical justification. Such thresholds are fragile and invite reviewer skepticism, particularly in an archival-data setting where the cost of misclassification propagates into downstream inference. A defensible approach requires (i) a transparent threshold anchored to an empirical reference population drawn from the target corpus; (ii) statistical diagnostics that characterise the shape of the underlying similarity distribution and so motivate the choice of anchor; and (iii) external validation against naturally-occurring anchor populations—byte-level identical pairs as a conservative gold positive subset and large random inter-CPA pairs as a gold negative population—reported with Wilson 95% confidence intervals on per-rule capture / FAR rates, since precision and $F_1$ are not meaningful when the positive and negative anchor populations are sampled from different units.</w:t>
      </w:r>
    </w:p>
    <w:p>
      <w:pPr>
        <w:spacing w:after="120"/>
      </w:pPr>
      <w:r>
        <w:rPr>
          <w:rFonts w:ascii="Times New Roman" w:hAnsi="Times New Roman"/>
          <w:sz w:val="20"/>
        </w:rPr>
        <w:t>Despite the significance of the problem for audit quality and regulatory oversight, no prior work has specifically addressed non-hand-signing detection in financial audit documents at scale with these methodological safeguards. Woodruff et al. [9] developed an automated pipeline for signature analysis in corporate filings for anti-money-laundering investigations, but their work focused on author clustering (grouping signatures by signer identity) rather than detecting reuse of a stored image. Copy-move forgery detection methods [10], [11] address duplicated regions within or across images but are designed for natural images and do not account for the specific characteristics of scanned document signatures, where legitimate visual similarity between a signer's authentic signatures is expected and must be distinguished from image reproduction. Research on near-duplicate image detection using perceptual hashing combined with deep learning [12], [13] provides relevant methodological foundations but has not been applied to document forensics or signature analysis. From the statistical side, the methods we adopt for distributional characterisation—the Hartigan dip test [37] and finite mixture modelling via the EM algorithm [40], [41], complemented by a Burgstahler-Dichev / McCrary density-smoothness diagnostic [38], [39]—have been developed in statistics and accounting-econometrics but have not, to our knowledge, been combined as a joint diagnostic toolkit for document-forensics threshold selection.</w:t>
      </w:r>
    </w:p>
    <w:p>
      <w:pPr>
        <w:spacing w:after="120"/>
      </w:pPr>
      <w:r>
        <w:rPr>
          <w:rFonts w:ascii="Times New Roman" w:hAnsi="Times New Roman"/>
          <w:sz w:val="20"/>
        </w:rPr>
        <w:t>In this paper, we present a fully automated, end-to-end pipeline for detecting non-hand-signed CPA signatures in audit reports at scale. Our approach processes raw PDF documents through the following stages: (1) signature page identification using a Vision-Language Model (VLM); (2) signature region detection using a trained YOLOv11 object detector; (3) deep feature extraction via a pre-trained ResNet-50 convolutional neural network; (4) dual-descriptor similarity computation combining cosine similarity on deep embeddings with difference hash (dHash) distance; (5) signature-level distributional characterisation using two threshold estimators—KDE antimode with a Hartigan unimodality test and finite Beta mixture via EM with a logit-Gaussian robustness check—complemented by a Burgstahler-Dichev / McCrary density-smoothness diagnostic, used to read the structure of the per-signature similarity distribution and to motivate a percentile-based operational anchor rather than a mixture-fit crossing; and (6) validation against a pixel-identical anchor, a low-similarity anchor, and a replication-dominated Big-4 calibration firm.</w:t>
      </w:r>
    </w:p>
    <w:p>
      <w:pPr>
        <w:spacing w:after="120"/>
      </w:pPr>
      <w:r>
        <w:rPr>
          <w:rFonts w:ascii="Times New Roman" w:hAnsi="Times New Roman"/>
          <w:sz w:val="20"/>
        </w:rPr>
        <w:t>The dual-descriptor verification is central to our contribution. Cosine similarity of deep feature embeddings captures high-level visual style similarity—it can identify signatures that share similar stroke patterns and spatial layouts—but cannot distinguish between a CPA who signs consistently and one whose signature is reproduced from a stored image. Perceptual hashing (specifically, difference hashing) encodes structural-level image gradients into compact binary fingerprints that are robust to scan noise but sensitive to substantive content differences. By requiring convergent evidence from both descriptors, we can differentiate style consistency (high cosine but divergent dHash) from image reproduction (high cosine with low dHash), resolving an ambiguity that neither descriptor can address alone.</w:t>
      </w:r>
    </w:p>
    <w:p>
      <w:pPr>
        <w:spacing w:after="120"/>
      </w:pPr>
      <w:r>
        <w:rPr>
          <w:rFonts w:ascii="Times New Roman" w:hAnsi="Times New Roman"/>
          <w:sz w:val="20"/>
        </w:rPr>
        <w:t>A second distinctive feature is our framing of the calibration reference. One major Big-4 accounting firm in Taiwan (hereafter "Firm A") was selected as a candidate calibration reference based on practitioner-knowledge motivation; its benchmark status is then evaluated using the image evidence reported in this paper, not asserted by the practitioner-knowledge motivation itself. We therefore treat Firm A as a replication-dominated calibration reference rather than a pure positive class. This framing is important because the statistical signature of a replication-dominated population is visible in our data: Firm A's per-signature cosine distribution is unimodal with a long left tail (Hartigan dip $p = 0.17$), 92.5% of Firm A signatures exceed cosine 0.95 with the remaining 7.5% forming the left tail, and 145 Firm A signatures across 50 distinct partners are byte-identical to a same-CPA match in a different audit report (35 spanning different fiscal years). Adopting the replication-dominated framing—rather than a near-universal framing that would have to absorb the 7.5% residual as noise—ensures internal coherence between the byte-level pixel-identity evidence and the signature-level distributional shape.</w:t>
      </w:r>
    </w:p>
    <w:p>
      <w:pPr>
        <w:spacing w:after="120"/>
      </w:pPr>
      <w:r>
        <w:rPr>
          <w:rFonts w:ascii="Times New Roman" w:hAnsi="Times New Roman"/>
          <w:sz w:val="20"/>
        </w:rPr>
        <w:t>A third distinctive feature is the empirical reading we take from the per-signature distributional analysis. Three diagnostics applied to the per-signature similarity distribution—the Hartigan dip test, an EM-fitted Beta mixture (with logit-Gaussian robustness check), and the Burgstahler-Dichev / McCrary density-smoothness procedure—jointly indicate that no two-mechanism mixture cleanly explains per-signature similarity: the dip test fails to reject unimodality for Firm A, BIC strongly prefers a 3-component over a 2-component Beta fit, and the BD/McCrary candidate transition lies inside the non-hand-signed mode rather than between modes (and is not bin-width-stable; Appendix A). The substantive reading is that pixel-level output quality is a continuous spectrum shaped by firm-specific reproduction technologies (administrative stamping in early years, firm-level e-signing later) and scan conditions, rather than a discrete class cleanly separated from hand-signing. This reading motivates anchoring the operational classifier on a percentile heuristic over the Firm A reference distribution rather than on a mixture-fit crossing, and it motivates the byte-level pixel-identity anchor (Section IV-F.1) as a threshold-free positive reference that does not depend on resolving signature-level mixture structure.</w:t>
      </w:r>
    </w:p>
    <w:p>
      <w:pPr>
        <w:spacing w:after="120"/>
      </w:pPr>
      <w:r>
        <w:rPr>
          <w:rFonts w:ascii="Times New Roman" w:hAnsi="Times New Roman"/>
          <w:sz w:val="20"/>
        </w:rPr>
        <w:t>We apply this pipeline to 90,282 audit reports filed by publicly listed companies in Taiwan between 2013 and 2023, extracting and analyzing 182,328 individual CPA signatures from 758 unique accountants. To our knowledge, this represents the largest-scale forensic analysis of signature authenticity in financial documents reported in the literature.</w:t>
      </w:r>
    </w:p>
    <w:p>
      <w:pPr>
        <w:spacing w:after="120"/>
      </w:pPr>
      <w:r>
        <w:rPr>
          <w:rFonts w:ascii="Times New Roman" w:hAnsi="Times New Roman"/>
          <w:sz w:val="20"/>
        </w:rPr>
        <w:t>The contributions of this paper are summarized as follows:</w:t>
      </w:r>
    </w:p>
    <w:p>
      <w:pPr>
        <w:pStyle w:val="ListNumber"/>
      </w:pPr>
      <w:r>
        <w:rPr>
          <w:rFonts w:ascii="Times New Roman" w:hAnsi="Times New Roman"/>
          <w:sz w:val="20"/>
        </w:rPr>
        <w:t>Problem formulation. We formally define non-hand-signing detection as distinct from signature forgery detection and argue that it requires an analytical framework focused on intra-signer similarity distributions rather than genuine-versus-forged classification.</w:t>
      </w:r>
    </w:p>
    <w:p>
      <w:pPr>
        <w:pStyle w:val="ListNumber"/>
      </w:pPr>
      <w:r>
        <w:rPr>
          <w:rFonts w:ascii="Times New Roman" w:hAnsi="Times New Roman"/>
          <w:sz w:val="20"/>
        </w:rPr>
        <w:t>End-to-end pipeline. We present a pipeline that processes raw PDF audit reports through VLM-based page identification, YOLO-based signature detection, deep feature extraction, and dual-descriptor similarity computation, with automated inference requiring no manual intervention after initial training and annotation.</w:t>
      </w:r>
    </w:p>
    <w:p>
      <w:pPr>
        <w:pStyle w:val="ListNumber"/>
      </w:pPr>
      <w:r>
        <w:rPr>
          <w:rFonts w:ascii="Times New Roman" w:hAnsi="Times New Roman"/>
          <w:sz w:val="20"/>
        </w:rPr>
        <w:t>Dual-descriptor verification. We demonstrate that combining deep-feature cosine similarity with perceptual hashing resolves the fundamental ambiguity between style consistency and image reproduction, and we validate the backbone choice through an ablation study comparing three feature-extraction architectures.</w:t>
      </w:r>
    </w:p>
    <w:p>
      <w:pPr>
        <w:pStyle w:val="ListNumber"/>
      </w:pPr>
      <w:r>
        <w:rPr>
          <w:rFonts w:ascii="Times New Roman" w:hAnsi="Times New Roman"/>
          <w:sz w:val="20"/>
        </w:rPr>
        <w:t>Percentile-anchored operational threshold. We anchor the operational classifier's cosine cut on the whole-sample Firm A P7.5 percentile (cos $&gt; 0.95$), a transparent and reproducible reference drawn from a replication-dominated reference population, and complement it with dHash structural cuts derived from the same reference distribution. Operational thresholds are therefore explained by an empirical reference rather than asserted.</w:t>
      </w:r>
    </w:p>
    <w:p>
      <w:pPr>
        <w:pStyle w:val="ListNumber"/>
      </w:pPr>
      <w:r>
        <w:rPr>
          <w:rFonts w:ascii="Times New Roman" w:hAnsi="Times New Roman"/>
          <w:sz w:val="20"/>
        </w:rPr>
        <w:t>Distributional characterisation of per-signature similarity. We apply three statistical diagnostics---a Hartigan dip test, an EM-fitted Beta mixture with logit-Gaussian robustness check, and a Burgstahler-Dichev / McCrary density-smoothness procedure---to characterise the shape of the per-signature similarity distribution. The three diagnostics jointly find that per-signature similarity forms a continuous quality spectrum, which both motivates the percentile-based operational anchor over a mixture-fit crossing and is itself a substantive finding for the document-forensics literature on similarity-threshold selection.</w:t>
      </w:r>
    </w:p>
    <w:p>
      <w:pPr>
        <w:pStyle w:val="ListNumber"/>
      </w:pPr>
      <w:r>
        <w:rPr>
          <w:rFonts w:ascii="Times New Roman" w:hAnsi="Times New Roman"/>
          <w:sz w:val="20"/>
        </w:rPr>
        <w:t>Replication-dominated calibration methodology. We introduce a calibration strategy using a replication-dominated reference group, distinguishing *replication-dominated* from *replication-pure* anchors; and we validate classification using byte-level pixel identity as an annotation-free gold positive, requiring no manual labeling.</w:t>
      </w:r>
    </w:p>
    <w:p>
      <w:pPr>
        <w:pStyle w:val="ListNumber"/>
      </w:pPr>
      <w:r>
        <w:rPr>
          <w:rFonts w:ascii="Times New Roman" w:hAnsi="Times New Roman"/>
          <w:sz w:val="20"/>
        </w:rPr>
        <w:t>Large-scale empirical analysis. We report findings from the analysis of over 90,000 audit reports spanning a decade, providing the first large-scale empirical evidence on non-hand-signing practices in financial reporting under a methodology designed for peer-review defensibility.</w:t>
      </w:r>
    </w:p>
    <w:p>
      <w:pPr>
        <w:spacing w:after="120"/>
      </w:pPr>
      <w:r>
        <w:rPr>
          <w:rFonts w:ascii="Times New Roman" w:hAnsi="Times New Roman"/>
          <w:sz w:val="20"/>
        </w:rPr>
        <w:t>The remainder of this paper is organized as follows. Section II reviews related work on signature verification, document forensics, perceptual hashing, and the statistical methods we adopt for distributional characterisation. Section III describes the proposed methodology. Section IV presents experimental results including the signature-level distributional characterisation, pixel-identity validation, and backbone ablation study. Section V discusses the implications and limitations of our findings. Section VI concludes with directions for future work.</w:t>
      </w:r>
    </w:p>
    <w:p>
      <w:pPr>
        <w:pStyle w:val="Heading1"/>
      </w:pPr>
      <w:r>
        <w:rPr>
          <w:color w:val="000000"/>
        </w:rPr>
        <w:t>II. Related Work</w:t>
      </w:r>
    </w:p>
    <w:p>
      <w:pPr>
        <w:pStyle w:val="Heading2"/>
      </w:pPr>
      <w:r>
        <w:rPr>
          <w:color w:val="000000"/>
        </w:rPr>
        <w:t>A. Offline Signature Verification</w:t>
      </w:r>
    </w:p>
    <w:p>
      <w:pPr>
        <w:spacing w:after="120"/>
      </w:pPr>
      <w:r>
        <w:rPr>
          <w:rFonts w:ascii="Times New Roman" w:hAnsi="Times New Roman"/>
          <w:sz w:val="20"/>
        </w:rPr>
        <w:t>Offline signature verification—determining whether a static signature image is genuine or forged—has been studied extensively using deep learning. Bromley et al. [3] introduced the Siamese neural network architecture for signature verification, establishing the pairwise comparison paradigm that remains dominant. Hafemann et al. [14] demonstrated that deep CNN features learned from signature images provide strong discriminative representations for writer-independent verification, establishing the foundational baseline for subsequent work. Dey et al. [4] proposed SigNet, a convolutional Siamese network for writer-independent offline verification, extending this paradigm to generalize across signers without per-writer retraining. Kao and Wen [5] addressed offline verification and forgery detection using only a single known genuine signature per writer with an explainable deep-learning approach. More recently, Li et al. [6] introduced TransOSV, the first Vision Transformer-based approach, achieving state-of-the-art results. Tehsin et al. [7] evaluated distance metrics for triplet Siamese networks, finding that Manhattan distance outperformed cosine and Euclidean alternatives. Zois et al. [15] proposed similarity distance learning on SPD manifolds for writer-independent verification, achieving robust cross-dataset transfer. Hafemann et al. [16] further addressed the practical challenge of adapting to new users through meta-learning, reducing the enrollment burden for signature verification systems.</w:t>
      </w:r>
    </w:p>
    <w:p>
      <w:pPr>
        <w:spacing w:after="120"/>
      </w:pPr>
      <w:r>
        <w:rPr>
          <w:rFonts w:ascii="Times New Roman" w:hAnsi="Times New Roman"/>
          <w:sz w:val="20"/>
        </w:rPr>
        <w:t>A common thread in this literature is the assumption that the primary threat is identity fraud: a forger attempting to produce a convincing imitation of another person's signature. Our work addresses a fundamentally different problem—detecting whether the legitimate signer's stored signature image has been reproduced across many documents—which requires analyzing the upper tail of the intra-signer similarity distribution rather than modeling inter-signer discriminability.</w:t>
      </w:r>
    </w:p>
    <w:p>
      <w:pPr>
        <w:spacing w:after="120"/>
      </w:pPr>
      <w:r>
        <w:rPr>
          <w:rFonts w:ascii="Times New Roman" w:hAnsi="Times New Roman"/>
          <w:sz w:val="20"/>
        </w:rPr>
        <w:t>Brimoh and Olisah [8] proposed a consensus-threshold approach that derives classification boundaries from known genuine reference pairs, the methodology most closely related to our calibration strategy. However, their method operates on standard verification benchmarks with laboratory-collected signatures, whereas our approach applies threshold calibration using a replication-dominated subpopulation identified through domain expertise in real-world regulatory documents.</w:t>
      </w:r>
    </w:p>
    <w:p>
      <w:pPr>
        <w:pStyle w:val="Heading2"/>
      </w:pPr>
      <w:r>
        <w:rPr>
          <w:color w:val="000000"/>
        </w:rPr>
        <w:t>B. Document Forensics and Copy Detection</w:t>
      </w:r>
    </w:p>
    <w:p>
      <w:pPr>
        <w:spacing w:after="120"/>
      </w:pPr>
      <w:r>
        <w:rPr>
          <w:rFonts w:ascii="Times New Roman" w:hAnsi="Times New Roman"/>
          <w:sz w:val="20"/>
        </w:rPr>
        <w:t>Image forensics encompasses a broad range of techniques for detecting manipulated visual content [17], with recent surveys highlighting the growing role of deep learning in forgery detection [18]. Copy-move forgery detection (CMFD) identifies duplicated regions within or across images, typically targeting manipulated photographs [11]. Abramova and Böhme [10] adapted block-based CMFD to scanned text documents, noting that standard methods perform poorly in this domain because legitimate character repetitions produce high similarity scores that confound duplicate detection.</w:t>
      </w:r>
    </w:p>
    <w:p>
      <w:pPr>
        <w:spacing w:after="120"/>
      </w:pPr>
      <w:r>
        <w:rPr>
          <w:rFonts w:ascii="Times New Roman" w:hAnsi="Times New Roman"/>
          <w:sz w:val="20"/>
        </w:rPr>
        <w:t>Woodruff et al. [9] developed the work most closely related to ours: a fully automated pipeline for extracting and analyzing signatures from corporate filings in the context of anti-money-laundering investigations. Their system uses connected component analysis for signature detection, GANs for noise removal, and Siamese networks for author clustering. While their pipeline shares our goal of large-scale automated signature analysis on real regulatory documents, their objective—grouping signatures by authorship—differs fundamentally from ours, which is detecting image-level reproduction within a single author's signatures across documents.</w:t>
      </w:r>
    </w:p>
    <w:p>
      <w:pPr>
        <w:spacing w:after="120"/>
      </w:pPr>
      <w:r>
        <w:rPr>
          <w:rFonts w:ascii="Times New Roman" w:hAnsi="Times New Roman"/>
          <w:sz w:val="20"/>
        </w:rPr>
        <w:t>In the domain of image copy detection, Pizzi et al. [13] proposed SSCD, a self-supervised descriptor using ResNet-50 with contrastive learning for large-scale copy detection on natural images. Their work demonstrates that pre-trained CNN features with cosine similarity provide a strong baseline for identifying near-duplicate images, a finding that supports our feature-extraction approach.</w:t>
      </w:r>
    </w:p>
    <w:p>
      <w:pPr>
        <w:pStyle w:val="Heading2"/>
      </w:pPr>
      <w:r>
        <w:rPr>
          <w:color w:val="000000"/>
        </w:rPr>
        <w:t>C. Perceptual Hashing</w:t>
      </w:r>
    </w:p>
    <w:p>
      <w:pPr>
        <w:spacing w:after="120"/>
      </w:pPr>
      <w:r>
        <w:rPr>
          <w:rFonts w:ascii="Times New Roman" w:hAnsi="Times New Roman"/>
          <w:sz w:val="20"/>
        </w:rPr>
        <w:t>Perceptual hashing algorithms generate compact fingerprints that are robust to minor image transformations while remaining sensitive to substantive content changes [19]. Unlike cryptographic hashes, which change entirely with any pixel modification, perceptual hashes produce similar outputs for visually similar inputs, making them suitable for near-duplicate detection in scanned documents where minor variations arise from the scanning process.</w:t>
      </w:r>
    </w:p>
    <w:p>
      <w:pPr>
        <w:spacing w:after="120"/>
      </w:pPr>
      <w:r>
        <w:rPr>
          <w:rFonts w:ascii="Times New Roman" w:hAnsi="Times New Roman"/>
          <w:sz w:val="20"/>
        </w:rPr>
        <w:t>Jakhar and Borah [12] demonstrated that combining perceptual hashing with deep learning features significantly outperforms either approach alone for near-duplicate image detection, achieving AUROC of 0.99 on standard benchmarks. Their two-stage architecture—pHash for fast structural comparison followed by deep features for semantic verification—provides methodological precedent for our dual-descriptor approach, though applied to natural images rather than document signatures.</w:t>
      </w:r>
    </w:p>
    <w:p>
      <w:pPr>
        <w:spacing w:after="120"/>
      </w:pPr>
      <w:r>
        <w:rPr>
          <w:rFonts w:ascii="Times New Roman" w:hAnsi="Times New Roman"/>
          <w:sz w:val="20"/>
        </w:rPr>
        <w:t>Our work differs from prior perceptual-hashing studies in its application context and in the specific challenge it addresses: distinguishing legitimate high visual consistency (a careful signer producing similar-looking signatures) from image-level reproduction in scanned financial documents.</w:t>
      </w:r>
    </w:p>
    <w:p>
      <w:pPr>
        <w:pStyle w:val="Heading2"/>
      </w:pPr>
      <w:r>
        <w:rPr>
          <w:color w:val="000000"/>
        </w:rPr>
        <w:t>D. Deep Feature Extraction for Signature Analysis</w:t>
      </w:r>
    </w:p>
    <w:p>
      <w:pPr>
        <w:spacing w:after="120"/>
      </w:pPr>
      <w:r>
        <w:rPr>
          <w:rFonts w:ascii="Times New Roman" w:hAnsi="Times New Roman"/>
          <w:sz w:val="20"/>
        </w:rPr>
        <w:t>Several studies have explored pre-trained CNN features for signature comparison without metric learning or Siamese architectures. Engin et al. [20] used ResNet-50 features with cosine similarity for offline signature verification on real-world scanned documents, incorporating CycleGAN-based stamp removal as preprocessing—a pipeline design closely paralleling our approach. Tsourounis et al. [21] demonstrated successful transfer from handwritten text recognition to signature verification, showing that CNN features trained on related but distinct handwriting tasks generalize effectively to signature comparison. Chamakh and Bounouh [22] confirmed that a simple ResNet backbone with cosine similarity achieves competitive verification accuracy across multilingual signature datasets without fine-tuning, supporting the viability of our off-the-shelf feature-extraction approach.</w:t>
      </w:r>
    </w:p>
    <w:p>
      <w:pPr>
        <w:spacing w:after="120"/>
      </w:pPr>
      <w:r>
        <w:rPr>
          <w:rFonts w:ascii="Times New Roman" w:hAnsi="Times New Roman"/>
          <w:sz w:val="20"/>
        </w:rPr>
        <w:t>Babenko et al. [23] established that CNN-extracted neural codes with cosine similarity provide an effective framework for image retrieval and matching, a finding that underpins our feature-comparison approach. These findings collectively suggest that pre-trained CNN features, when L2-normalized and compared via cosine similarity, provide a robust and computationally efficient representation for signature comparison—particularly suitable for large-scale applications where the computational overhead of Siamese training or metric learning is impractical.</w:t>
      </w:r>
    </w:p>
    <w:p>
      <w:pPr>
        <w:pStyle w:val="Heading2"/>
      </w:pPr>
      <w:r>
        <w:rPr>
          <w:color w:val="000000"/>
        </w:rPr>
        <w:t>E. Statistical Methods for Threshold Determination</w:t>
      </w:r>
    </w:p>
    <w:p>
      <w:pPr>
        <w:spacing w:after="120"/>
      </w:pPr>
      <w:r>
        <w:rPr>
          <w:rFonts w:ascii="Times New Roman" w:hAnsi="Times New Roman"/>
          <w:sz w:val="20"/>
        </w:rPr>
        <w:t>Our threshold-determination framework combines three families of methods developed in statistics and accounting-econometrics.</w:t>
      </w:r>
    </w:p>
    <w:p>
      <w:pPr>
        <w:spacing w:after="120"/>
      </w:pPr>
      <w:r>
        <w:rPr>
          <w:rFonts w:ascii="Times New Roman" w:hAnsi="Times New Roman"/>
          <w:sz w:val="20"/>
        </w:rPr>
        <w:t>Non-parametric density estimation. Kernel density estimation [28] provides a smooth estimate of a similarity distribution without parametric assumptions. Where the distribution is bimodal, the local density minimum (antimode) between the two modes is the Bayes-optimal decision boundary under equal priors. The statistical validity of the unimodality-vs-multimodality dichotomy can be tested via the Hartigan &amp; Hartigan dip test [37], which tests the null of unimodality; we use rejection of this null as evidence consistent with (though not a direct test for) bimodality.</w:t>
      </w:r>
    </w:p>
    <w:p>
      <w:pPr>
        <w:spacing w:after="120"/>
      </w:pPr>
      <w:r>
        <w:rPr>
          <w:rFonts w:ascii="Times New Roman" w:hAnsi="Times New Roman"/>
          <w:sz w:val="20"/>
        </w:rPr>
        <w:t>Discontinuity tests on empirical distributions. Burgstahler and Dichev [38], working in the accounting-disclosure literature, proposed a test for smoothness violations in empirical frequency distributions. Under the null that the distribution is generated by a single smooth process, the expected count in any histogram bin equals the average of its two neighbours, and the standardized deviation from this expectation is approximately $N(0,1)$. The test was placed on rigorous asymptotic footing by McCrary [39], whose density-discontinuity test provides full asymptotic distribution theory, bandwidth-selection rules, and power analysis. The BD/McCrary pairing provides a local-density-discontinuity diagnostic that is informative about distributional smoothness under minimal assumptions; we use it in that diagnostic role (rather than as a threshold estimator) because its transitions in our corpus are bin-width-sensitive at the signature level and rarely significant at the accountant level (Appendix A).</w:t>
      </w:r>
    </w:p>
    <w:p>
      <w:pPr>
        <w:spacing w:after="120"/>
      </w:pPr>
      <w:r>
        <w:rPr>
          <w:rFonts w:ascii="Times New Roman" w:hAnsi="Times New Roman"/>
          <w:sz w:val="20"/>
        </w:rPr>
        <w:t>Finite mixture models. When the empirical distribution is viewed as a weighted sum of two (or more) latent component distributions, the Expectation-Maximization algorithm [40] provides consistent maximum-likelihood estimates of the component parameters. For observations bounded on $[0,1]$—such as cosine similarity and normalized Hamming-based dHash similarity—the Beta distribution is the natural parametric choice, with applications spanning bioinformatics and Bayesian estimation. Under mild regularity conditions, White's quasi-MLE result [41] supports interpreting maximum-likelihood estimates under a mis-specified parametric family as consistent estimators of the pseudo-true parameter that minimizes the Kullback-Leibler divergence to the data-generating distribution within that family; we use this result to justify the Beta-mixture fit as a principled approximation rather than as a guarantee that the true distribution is Beta.</w:t>
      </w:r>
    </w:p>
    <w:p>
      <w:pPr>
        <w:spacing w:after="120"/>
      </w:pPr>
      <w:r>
        <w:rPr>
          <w:rFonts w:ascii="Times New Roman" w:hAnsi="Times New Roman"/>
          <w:sz w:val="20"/>
        </w:rPr>
        <w:t>The present study combines all three families, using each to produce an independent threshold estimate and treating cross-method convergence—or principled divergence—as evidence of where in the analysis hierarchy the mixture structure is statistically supported.</w:t>
      </w:r>
    </w:p>
    <w:p>
      <w:pPr>
        <w:pStyle w:val="Heading1"/>
      </w:pPr>
      <w:r>
        <w:rPr>
          <w:color w:val="000000"/>
        </w:rPr>
        <w:t>III. Methodology</w:t>
      </w:r>
    </w:p>
    <w:p>
      <w:pPr>
        <w:pStyle w:val="Heading2"/>
      </w:pPr>
      <w:r>
        <w:rPr>
          <w:color w:val="000000"/>
        </w:rPr>
        <w:t>A. Pipeline Overview</w:t>
      </w:r>
    </w:p>
    <w:p>
      <w:pPr>
        <w:spacing w:after="120"/>
      </w:pPr>
      <w:r>
        <w:rPr>
          <w:rFonts w:ascii="Times New Roman" w:hAnsi="Times New Roman"/>
          <w:sz w:val="20"/>
        </w:rPr>
        <w:t>We propose a six-stage pipeline for large-scale non-hand-signed auditor signature detection in scanned financial documents. Fig. 1 illustrates the overall architecture. The pipeline takes as input a corpus of PDF audit reports and produces, for each document, a classification of its CPA signatures along a confidence continuum anchored on whole-sample Firm A percentile heuristics and validated against a byte-level pixel-identity positive anchor and a large random inter-CPA negative anchor.</w:t>
      </w:r>
    </w:p>
    <w:p>
      <w:pPr>
        <w:jc w:val="center"/>
      </w:pPr>
      <w:r>
        <w:drawing>
          <wp:inline xmlns:a="http://schemas.openxmlformats.org/drawingml/2006/main" xmlns:pic="http://schemas.openxmlformats.org/drawingml/2006/picture">
            <wp:extent cx="5943600" cy="1561335"/>
            <wp:docPr id="1" name="Picture 1"/>
            <wp:cNvGraphicFramePr>
              <a:graphicFrameLocks noChangeAspect="1"/>
            </wp:cNvGraphicFramePr>
            <a:graphic>
              <a:graphicData uri="http://schemas.openxmlformats.org/drawingml/2006/picture">
                <pic:pic>
                  <pic:nvPicPr>
                    <pic:cNvPr id="0" name="fig1_pipeline.png"/>
                    <pic:cNvPicPr/>
                  </pic:nvPicPr>
                  <pic:blipFill>
                    <a:blip r:embed="rId9"/>
                    <a:stretch>
                      <a:fillRect/>
                    </a:stretch>
                  </pic:blipFill>
                  <pic:spPr>
                    <a:xfrm>
                      <a:off x="0" y="0"/>
                      <a:ext cx="5943600" cy="1561335"/>
                    </a:xfrm>
                    <a:prstGeom prst="rect"/>
                  </pic:spPr>
                </pic:pic>
              </a:graphicData>
            </a:graphic>
          </wp:inline>
        </w:drawing>
      </w:r>
    </w:p>
    <w:p>
      <w:pPr>
        <w:jc w:val="center"/>
      </w:pPr>
      <w:r>
        <w:rPr>
          <w:rFonts w:ascii="Times New Roman" w:hAnsi="Times New Roman"/>
          <w:i/>
          <w:sz w:val="18"/>
        </w:rPr>
        <w:t>Fig. 1. Pipeline architecture for automated non-hand-signed signature detection.</w:t>
      </w:r>
    </w:p>
    <w:p>
      <w:pPr>
        <w:spacing w:after="120"/>
      </w:pPr>
      <w:r>
        <w:rPr>
          <w:rFonts w:ascii="Times New Roman" w:hAnsi="Times New Roman"/>
          <w:sz w:val="20"/>
        </w:rPr>
        <w:t>Throughout this paper we use the term non-hand-signed rather than "digitally replicated" to denote any signature produced by reproducing a previously stored image of the partner's signature—whether by administrative stamping workflows (dominant in the early years of the sample) or firm-level electronic signing systems (dominant in the later years). From the perspective of the output image the two workflows are equivalent: both can reproduce one or more stored signature images, producing same-CPA signatures that are identical or near-identical up to reproduction, scanning, compression, and template-variant noise.</w:t>
      </w:r>
    </w:p>
    <w:p>
      <w:pPr>
        <w:pStyle w:val="Heading2"/>
      </w:pPr>
      <w:r>
        <w:rPr>
          <w:color w:val="000000"/>
        </w:rPr>
        <w:t>B. Data Collection</w:t>
      </w:r>
    </w:p>
    <w:p>
      <w:pPr>
        <w:spacing w:after="120"/>
      </w:pPr>
      <w:r>
        <w:rPr>
          <w:rFonts w:ascii="Times New Roman" w:hAnsi="Times New Roman"/>
          <w:sz w:val="20"/>
        </w:rPr>
        <w:t>The dataset comprises 90,282 annual financial audit reports filed by publicly listed companies in Taiwan, covering fiscal years 2013 to 2023. The reports were collected from the Market Observation Post System (MOPS) operated by the Taiwan Stock Exchange Corporation, the official repository for mandatory corporate filings. An automated web-scraping pipeline using Selenium WebDriver was developed to systematically download all audit reports for each listed company across the study period. Each report is a multi-page PDF document containing, among other content, the auditor's report page bearing the signatures of the certifying CPAs.</w:t>
      </w:r>
    </w:p>
    <w:p>
      <w:pPr>
        <w:spacing w:after="120"/>
      </w:pPr>
      <w:r>
        <w:rPr>
          <w:rFonts w:ascii="Times New Roman" w:hAnsi="Times New Roman"/>
          <w:sz w:val="20"/>
        </w:rPr>
        <w:t>CPA names, affiliated accounting firms, and audit engagement tenure were obtained from a publicly available audit-firm tenure registry encompassing 758 unique CPAs across 15 document types, with the majority (86.4%) being standard audit reports. Table I summarizes the dataset composition.</w:t>
      </w:r>
    </w:p>
    <w:p>
      <w:pPr>
        <w:pStyle w:val="Heading2"/>
      </w:pPr>
      <w:r>
        <w:rPr>
          <w:color w:val="000000"/>
        </w:rPr>
        <w:t>C. Signature Page Identification</w:t>
      </w:r>
    </w:p>
    <w:p>
      <w:pPr>
        <w:spacing w:after="120"/>
      </w:pPr>
      <w:r>
        <w:rPr>
          <w:rFonts w:ascii="Times New Roman" w:hAnsi="Times New Roman"/>
          <w:sz w:val="20"/>
        </w:rPr>
        <w:t>To identify which page of each multi-page PDF contains the auditor's signatures, we employed the Qwen2.5-VL vision-language model (32B parameters) [24], one of the multimodal generative models surveyed in [35], as an automated pre-screening mechanism. Each PDF page was rendered to JPEG at 180 DPI and submitted to the VLM with a structured prompt requesting a binary determination of whether the page contains a Chinese handwritten signature. The model was configured with temperature 0 for deterministic output.</w:t>
      </w:r>
    </w:p>
    <w:p>
      <w:pPr>
        <w:spacing w:after="120"/>
      </w:pPr>
      <w:r>
        <w:rPr>
          <w:rFonts w:ascii="Times New Roman" w:hAnsi="Times New Roman"/>
          <w:sz w:val="20"/>
        </w:rPr>
        <w:t>The scanning range was restricted to the first quartile of each document's page count, reflecting the regulatory structure of Taiwanese audit reports in which the auditor's report page is consistently located in the first quarter of the document. Scanning terminated upon the first positive detection. This process identified 86,072 documents with signature pages; the remaining 4,198 documents (4.6%) were classified as having no signatures and excluded. An additional 12 corrupted PDFs were excluded, yielding a final set of 86,071 documents.</w:t>
      </w:r>
    </w:p>
    <w:p>
      <w:pPr>
        <w:spacing w:after="120"/>
      </w:pPr>
      <w:r>
        <w:rPr>
          <w:rFonts w:ascii="Times New Roman" w:hAnsi="Times New Roman"/>
          <w:sz w:val="20"/>
        </w:rPr>
        <w:t>Cross-validation between the VLM and subsequent YOLO detection confirmed high agreement: YOLO successfully detected signature regions in 98.8% of VLM-positive documents. The 1.2% disagreement reflects the combined rate of (i) VLM false positives (pages incorrectly flagged as containing signatures) and (ii) YOLO false negatives (signature regions missed by the detector), and we do not attempt to attribute the residual to either source without further labeling.</w:t>
      </w:r>
    </w:p>
    <w:p>
      <w:pPr>
        <w:pStyle w:val="Heading2"/>
      </w:pPr>
      <w:r>
        <w:rPr>
          <w:color w:val="000000"/>
        </w:rPr>
        <w:t>D. Signature Detection</w:t>
      </w:r>
    </w:p>
    <w:p>
      <w:pPr>
        <w:spacing w:after="120"/>
      </w:pPr>
      <w:r>
        <w:rPr>
          <w:rFonts w:ascii="Times New Roman" w:hAnsi="Times New Roman"/>
          <w:sz w:val="20"/>
        </w:rPr>
        <w:t>We adopted YOLOv11n (nano variant) [25], a lightweight descendant of the original YOLO single-stage detector [34], for signature region localization. A training set of 500 randomly sampled signature pages was annotated using a custom web-based interface following a two-stage protocol: primary annotation followed by independent review and correction. A region was labeled as "signature" if it contained any Chinese handwritten content attributable to a personal signature, regardless of overlap with official stamps.</w:t>
      </w:r>
    </w:p>
    <w:p>
      <w:pPr>
        <w:spacing w:after="120"/>
      </w:pPr>
      <w:r>
        <w:rPr>
          <w:rFonts w:ascii="Times New Roman" w:hAnsi="Times New Roman"/>
          <w:sz w:val="20"/>
        </w:rPr>
        <w:t>The model was trained for 100 epochs on a 425/75 training/validation split with COCO pre-trained initialization, achieving strong detection performance (Table II).</w:t>
      </w:r>
    </w:p>
    <w:p>
      <w:pPr>
        <w:spacing w:after="120"/>
      </w:pPr>
      <w:r>
        <w:rPr>
          <w:rFonts w:ascii="Times New Roman" w:hAnsi="Times New Roman"/>
          <w:sz w:val="20"/>
        </w:rPr>
        <w:t>Batch inference on all 86,071 documents extracted 182,328 signature images at a rate of 43.1 documents per second (8 workers). A red stamp removal step was applied to each cropped signature using HSV color-space filtering, replacing detected red regions with white pixels to isolate the handwritten content.</w:t>
      </w:r>
    </w:p>
    <w:p>
      <w:pPr>
        <w:spacing w:after="120"/>
      </w:pPr>
      <w:r>
        <w:rPr>
          <w:rFonts w:ascii="Times New Roman" w:hAnsi="Times New Roman"/>
          <w:sz w:val="20"/>
        </w:rPr>
        <w:t>Each signature was matched to its corresponding CPA using positional order (first or second signature on the page) against the official CPA registry, achieving a 92.6% match rate (168,755 of 182,328 signatures). The remaining 7.4% (13,573 signatures) could not be matched to a registered CPA name—typically because the auditor's report page format deviates from the standard two-signature layout, or because OCR of the printed CPA name on the page returns a name not present in the registry—and these signatures are excluded from all subsequent same-CPA pairwise analyses (a same-CPA best-match statistic is undefined when a signature has no assigned CPA). The 92.6% matched subset is the sample that flows into Sections IV-D through IV-H; the unmatched 7.4% are excluded for definitional reasons rather than discarded as noise.</w:t>
      </w:r>
    </w:p>
    <w:p>
      <w:pPr>
        <w:pStyle w:val="Heading2"/>
      </w:pPr>
      <w:r>
        <w:rPr>
          <w:color w:val="000000"/>
        </w:rPr>
        <w:t>E. Feature Extraction</w:t>
      </w:r>
    </w:p>
    <w:p>
      <w:pPr>
        <w:spacing w:after="120"/>
      </w:pPr>
      <w:r>
        <w:rPr>
          <w:rFonts w:ascii="Times New Roman" w:hAnsi="Times New Roman"/>
          <w:sz w:val="20"/>
        </w:rPr>
        <w:t>Each extracted signature was encoded into a feature vector using a pre-trained ResNet-50 convolutional neural network [26] with ImageNet-1K V2 weights, used as a fixed feature extractor without fine-tuning. The final classification layer was removed, yielding the 2048-dimensional output of the global average pooling layer.</w:t>
      </w:r>
    </w:p>
    <w:p>
      <w:pPr>
        <w:spacing w:after="120"/>
      </w:pPr>
      <w:r>
        <w:rPr>
          <w:rFonts w:ascii="Times New Roman" w:hAnsi="Times New Roman"/>
          <w:sz w:val="20"/>
        </w:rPr>
        <w:t>Preprocessing consisted of resizing to 224×224 pixels with aspect-ratio preservation and white padding, followed by ImageNet channel normalization. All feature vectors were L2-normalized, ensuring that cosine similarity equals the dot product.</w:t>
      </w:r>
    </w:p>
    <w:p>
      <w:pPr>
        <w:spacing w:after="120"/>
      </w:pPr>
      <w:r>
        <w:rPr>
          <w:rFonts w:ascii="Times New Roman" w:hAnsi="Times New Roman"/>
          <w:sz w:val="20"/>
        </w:rPr>
        <w:t>The choice of ResNet-50 without fine-tuning was motivated by three considerations: (1) the task is similarity comparison rather than classification, making general-purpose discriminative features sufficient; (2) ImageNet features have been shown to transfer effectively to document analysis tasks [20], [21]; and (3) avoiding domain-specific fine-tuning reduces the risk of overfitting to dataset-specific artifacts, though we note that a fine-tuned model could potentially improve discriminative performance (see Section V-G). This design choice is validated by an ablation study (Section IV-I) comparing ResNet-50 against VGG-16 and EfficientNet-B0.</w:t>
      </w:r>
    </w:p>
    <w:p>
      <w:pPr>
        <w:pStyle w:val="Heading2"/>
      </w:pPr>
      <w:r>
        <w:rPr>
          <w:color w:val="000000"/>
        </w:rPr>
        <w:t>F. Dual-Method Similarity Descriptors</w:t>
      </w:r>
    </w:p>
    <w:p>
      <w:pPr>
        <w:spacing w:after="120"/>
      </w:pPr>
      <w:r>
        <w:rPr>
          <w:rFonts w:ascii="Times New Roman" w:hAnsi="Times New Roman"/>
          <w:sz w:val="20"/>
        </w:rPr>
        <w:t>For each signature, we compute two complementary similarity measures against other signatures attributed to the same CPA:</w:t>
      </w:r>
    </w:p>
    <w:p>
      <w:pPr>
        <w:spacing w:after="120"/>
      </w:pPr>
      <w:r>
        <w:rPr>
          <w:rFonts w:ascii="Times New Roman" w:hAnsi="Times New Roman"/>
          <w:sz w:val="20"/>
        </w:rPr>
        <w:t>Cosine similarity on deep embeddings captures high-level visual style:</w:t>
      </w:r>
    </w:p>
    <w:p>
      <w:pPr>
        <w:spacing w:after="120"/>
      </w:pPr>
      <w:r>
        <w:rPr>
          <w:rFonts w:ascii="Times New Roman" w:hAnsi="Times New Roman"/>
          <w:sz w:val="20"/>
        </w:rPr>
        <w:t>\text{sim}(\mathbf{f}_A, \mathbf{f}_B) = \mathbf{f}_A \cdot \mathbf{f}_B</w:t>
      </w:r>
    </w:p>
    <w:p>
      <w:pPr>
        <w:spacing w:after="120"/>
      </w:pPr>
      <w:r>
        <w:rPr>
          <w:rFonts w:ascii="Times New Roman" w:hAnsi="Times New Roman"/>
          <w:sz w:val="20"/>
        </w:rPr>
        <w:t>where $\mathbf{f}_A$ and $\mathbf{f}_B$ are L2-normalized 2048-dim feature vectors. Each feature dimension contributes to the angular alignment, so cosine similarity is sensitive to fine-grained execution differences—pen pressure, ink distribution, and subtle stroke-trajectory variations—that distinguish genuine within-writer variation from the reproduction of a stored image [14].</w:t>
      </w:r>
    </w:p>
    <w:p>
      <w:pPr>
        <w:spacing w:after="120"/>
      </w:pPr>
      <w:r>
        <w:rPr>
          <w:rFonts w:ascii="Times New Roman" w:hAnsi="Times New Roman"/>
          <w:sz w:val="20"/>
        </w:rPr>
        <w:t>Perceptual hash distance (dHash) [27] captures structural-level similarity. Each signature image is resized to 9×8 pixels and converted to grayscale; horizontal gradient differences between adjacent columns produce a 64-bit binary fingerprint. The Hamming distance between two fingerprints quantifies perceptual dissimilarity: a distance of 0 indicates structurally identical images, while distances exceeding 15 indicate clearly different images. Unlike DCT-based perceptual hashes, dHash is computationally lightweight and particularly effective for detecting near-exact duplicates with minor scan-induced variations [19].</w:t>
      </w:r>
    </w:p>
    <w:p>
      <w:pPr>
        <w:spacing w:after="120"/>
      </w:pPr>
      <w:r>
        <w:rPr>
          <w:rFonts w:ascii="Times New Roman" w:hAnsi="Times New Roman"/>
          <w:sz w:val="20"/>
        </w:rPr>
        <w:t>These descriptors provide partially independent evidence. Cosine similarity is sensitive to the full feature distribution and reflects fine-grained execution variation; dHash captures only coarse perceptual structure and is robust to scanner-induced noise. Non-hand-signing yields extreme similarity under both descriptors, since the underlying image is identical up to reproduction noise. Hand-signing, by contrast, yields high dHash similarity (the overall layout of a signature is preserved across writing occasions) but measurably lower cosine similarity (fine execution varies). Convergence of the two descriptors is therefore a natural robustness check; when they disagree, the case is flagged as borderline.</w:t>
      </w:r>
    </w:p>
    <w:p>
      <w:pPr>
        <w:spacing w:after="120"/>
      </w:pPr>
      <w:r>
        <w:rPr>
          <w:rFonts w:ascii="Times New Roman" w:hAnsi="Times New Roman"/>
          <w:sz w:val="20"/>
        </w:rPr>
        <w:t>We specifically excluded SSIM (Structural Similarity Index) [30] after empirical testing showed it to be unreliable for scanned documents: the calibration firm (Section III-H) exhibited a mean SSIM of only 0.70 due to scan-induced pixel-level variations, despite near-identical visual content. Cosine similarity and dHash are both robust to the noise introduced by the print-scan cycle.</w:t>
      </w:r>
    </w:p>
    <w:p>
      <w:pPr>
        <w:pStyle w:val="Heading2"/>
      </w:pPr>
      <w:r>
        <w:rPr>
          <w:color w:val="000000"/>
        </w:rPr>
        <w:t>G. Unit of Analysis and Summary Statistics</w:t>
      </w:r>
    </w:p>
    <w:p>
      <w:pPr>
        <w:spacing w:after="120"/>
      </w:pPr>
      <w:r>
        <w:rPr>
          <w:rFonts w:ascii="Times New Roman" w:hAnsi="Times New Roman"/>
          <w:sz w:val="20"/>
        </w:rPr>
        <w:t>Two unit-of-analysis choices are relevant for this study, ordered from finest to coarsest: (i) the signature—one signature image extracted from one report; and (ii) the auditor-year—all signatures by one CPA within one fiscal year. The signature is the operational unit of classification (Section III-K) and of all primary statistical analyses (Section IV-D, IV-F, IV-G). The auditor-year is used in the partner-level similarity ranking of Section IV-G.2 as a within-year aggregation unit: each auditor-year's mean is computed over its own fiscal-year signatures, although the per-signature best-match cosine that feeds the mean is computed against the full same-CPA cross-year pool (Section III-G's max-cosine / min-dHash definition). We do not use a coarser CPA-level cross-year unit, because pooling a CPA's signatures across the full 2013--2023 sample period would conflate distinct signing-mechanism regimes whenever a CPA's practice changes during the sample, and we make no claim about the within-CPA stability of signing mechanisms over time.</w:t>
      </w:r>
    </w:p>
    <w:p>
      <w:pPr>
        <w:spacing w:after="120"/>
      </w:pPr>
      <w:r>
        <w:rPr>
          <w:rFonts w:ascii="Times New Roman" w:hAnsi="Times New Roman"/>
          <w:sz w:val="20"/>
        </w:rPr>
        <w:t>For per-signature classification we compute, for each signature, the maximum pairwise cosine similarity and the minimum dHash Hamming distance against every other signature attributed to the same CPA (over the full same-CPA set, not restricted to the same fiscal year). The max/min (rather than mean) formulation reflects the identification logic for non-hand-signing: if even one other signature of the same CPA is a pixel-level reproduction, that pair will dominate the extremes and reveal the non-hand-signed mechanism. Mean statistics would dilute this signal.</w:t>
      </w:r>
    </w:p>
    <w:p>
      <w:pPr>
        <w:spacing w:after="120"/>
      </w:pPr>
      <w:r>
        <w:rPr>
          <w:rFonts w:ascii="Times New Roman" w:hAnsi="Times New Roman"/>
          <w:sz w:val="20"/>
        </w:rPr>
        <w:t>For the dHash dimension we use the independent minimum dHash: the minimum Hamming distance from a signature to any other signature of the same CPA (over the full same-CPA set). The independent minimum is unconditional on the cosine-nearest pair and is therefore the conservative structural-similarity statistic; it is the dHash statistic used throughout the operational classifier (Section III-K) and all reported capture-rate analyses.</w:t>
      </w:r>
    </w:p>
    <w:p>
      <w:pPr>
        <w:spacing w:after="120"/>
      </w:pPr>
      <w:r>
        <w:rPr>
          <w:rFonts w:ascii="Times New Roman" w:hAnsi="Times New Roman"/>
          <w:sz w:val="20"/>
        </w:rPr>
        <w:t>We make one stipulation about same-CPA pair detectability.</w:t>
      </w:r>
    </w:p>
    <w:p>
      <w:pPr>
        <w:spacing w:after="120"/>
      </w:pPr>
      <w:r>
        <w:rPr>
          <w:rFonts w:ascii="Times New Roman" w:hAnsi="Times New Roman"/>
          <w:sz w:val="20"/>
        </w:rPr>
        <w:t>(A1) Pair-detectability. If a CPA uses image replication anywhere in the corpus, then at least one same-CPA signature pair is near-identical (after reproduction noise) within the cross-year same-CPA pool used by the max-cosine / min-dHash computation above. This is plausible for high-volume stamping or firm-level electronic-signing workflows—where a stored image is typically reused many times under similar scan and compression conditions—but it is not guaranteed when (i) the corpus contains only one observed replicated report for a CPA, (ii) multiple template variants are in use simultaneously, or (iii) scan-stage noise pushes a replicated pair outside the detection regime. A1 is a cross-year pair-existence property, not a within-year uniformity claim, and is the only assumption the per-signature detector requires to be sensitive to replication.</w:t>
      </w:r>
    </w:p>
    <w:p>
      <w:pPr>
        <w:spacing w:after="120"/>
      </w:pPr>
      <w:r>
        <w:rPr>
          <w:rFonts w:ascii="Times New Roman" w:hAnsi="Times New Roman"/>
          <w:sz w:val="20"/>
        </w:rPr>
        <w:t>We make no within-year or across-year uniformity assumption about CPA signing mechanisms. Per-signature labels are signature-level quantities throughout this paper; we do not translate them to per-report or per-partner mechanism assignments, and we abstain from partner-level frequency inferences (such as "X% of CPAs hand-sign") that would require such a translation. A CPA's signing output within a single fiscal year may reflect a single replication template, multiple templates used in parallel (e.g., different stored images for different engagement positions or reporting pipelines), within-year mechanism mixing, or a combination; our signature-level analyses remain valid under all of these regimes, since they do not attempt mechanism attribution at the partner or report level.</w:t>
      </w:r>
    </w:p>
    <w:p>
      <w:pPr>
        <w:spacing w:after="120"/>
      </w:pPr>
      <w:r>
        <w:rPr>
          <w:rFonts w:ascii="Times New Roman" w:hAnsi="Times New Roman"/>
          <w:sz w:val="20"/>
        </w:rPr>
        <w:t>The intra-report consistency analysis in Section IV-G.3 is a firm-level homogeneity check—whether the two co-signing CPAs on the same report receive the same signature-level label under the operational classifier—rather than a test of within-partner or within-year uniformity.</w:t>
      </w:r>
    </w:p>
    <w:p>
      <w:pPr>
        <w:pStyle w:val="Heading2"/>
      </w:pPr>
      <w:r>
        <w:rPr>
          <w:color w:val="000000"/>
        </w:rPr>
        <w:t>H. Calibration Reference: Firm A as a Replication-Dominated Population</w:t>
      </w:r>
    </w:p>
    <w:p>
      <w:pPr>
        <w:spacing w:after="120"/>
      </w:pPr>
      <w:r>
        <w:rPr>
          <w:rFonts w:ascii="Times New Roman" w:hAnsi="Times New Roman"/>
          <w:sz w:val="20"/>
        </w:rPr>
        <w:t>A distinctive aspect of our methodology is the use of Firm A—a major Big-4 accounting firm in Taiwan—as an empirical calibration reference. Rather than treating Firm A as a synthetic or laboratory positive control, we treat it as a naturally occurring replication-dominated population: a CPA population whose aggregate signing behavior is dominated by non-hand-signing but is not a pure positive class.</w:t>
      </w:r>
    </w:p>
    <w:p>
      <w:pPr>
        <w:spacing w:after="120"/>
      </w:pPr>
      <w:r>
        <w:rPr>
          <w:rFonts w:ascii="Times New Roman" w:hAnsi="Times New Roman"/>
          <w:sz w:val="20"/>
        </w:rPr>
        <w:t>Practitioner knowledge motivated treating Firm A as a candidate calibration reference: the firm is understood within the audit profession to reproduce a stored signature image for the majority of certifying partners—originally via administrative stamping workflows and later via firm-level electronic signing systems—while not ruling out that a minority of partners may continue to hand-sign some or all of their reports. This practitioner background is non-load-bearing in our analysis: the evidentiary basis used in this paper is the observable image evidence reported below—byte-identical same-CPA pairs, the Firm A per-signature similarity distribution, partner-ranking concentration, and intra-report consistency—which does not depend on any claim about signing practice beyond what the audit-report images themselves show.</w:t>
      </w:r>
    </w:p>
    <w:p>
      <w:pPr>
        <w:spacing w:after="120"/>
      </w:pPr>
      <w:r>
        <w:rPr>
          <w:rFonts w:ascii="Times New Roman" w:hAnsi="Times New Roman"/>
          <w:sz w:val="20"/>
        </w:rPr>
        <w:t>We establish Firm A's replication-dominated status through two primary independent quantitative analyses plus a third strand comprising three complementary checks, each of which can be reproduced from the public audit-report corpus alone:</w:t>
      </w:r>
    </w:p>
    <w:p>
      <w:pPr>
        <w:spacing w:after="120"/>
      </w:pPr>
      <w:r>
        <w:rPr>
          <w:rFonts w:ascii="Times New Roman" w:hAnsi="Times New Roman"/>
          <w:sz w:val="20"/>
        </w:rPr>
        <w:t>First, automated byte-level pair analysis (Section IV-F.1; reproduced by signature_analysis/28_byte_identity_decomposition.py with output in reports/byte_identity_decomp/byte_identity_decomposition.json) identifies 145 Firm A signatures that are byte-identical to at least one other same-CPA signature from a different audit report, distributed across 50 distinct Firm A partners (of 180 registered); 35 of these byte-identical matches span different fiscal years. Byte-identity implies pixel-identity by construction, and independent hand-signing cannot produce pixel-identical images across distinct reports—these pairs therefore establish image reuse as a concrete, threshold-free phenomenon within Firm A and confirm that replication is widespread (50 of 180 registered partners) rather than confined to a handful of CPAs.</w:t>
      </w:r>
    </w:p>
    <w:p>
      <w:pPr>
        <w:spacing w:after="120"/>
      </w:pPr>
      <w:r>
        <w:rPr>
          <w:rFonts w:ascii="Times New Roman" w:hAnsi="Times New Roman"/>
          <w:sz w:val="20"/>
        </w:rPr>
        <w:t>Second, signature-level distributional evidence: Firm A's per-signature best-match cosine distribution fails to reject unimodality (Hartigan dip test $p = 0.17$, $N = 60{,}448$ Firm A signatures; Section IV-D) and exhibits a long left tail, consistent with a dominant high-similarity regime plus residual within-firm heterogeneity rather than two cleanly separated mechanisms. 92.5% of Firm A's per-signature best-match cosine similarities exceed 0.95 and the remaining 7.5% form the long left tail (we do not disaggregate partner-level mechanism here; see Section III-G for the scope of claims). The unimodal-long-tail shape, not the precise 92.5/7.5 split, is the structural evidence: it predicts that Firm A is replication-dominated rather than a clean two-class population, and a noise-only explanation of the left tail would predict a shrinking share as scan/PDF technology matured over 2013--2023, which is not what we observe (Section IV-G.1).</w:t>
      </w:r>
    </w:p>
    <w:p>
      <w:pPr>
        <w:spacing w:after="120"/>
      </w:pPr>
      <w:r>
        <w:rPr>
          <w:rFonts w:ascii="Times New Roman" w:hAnsi="Times New Roman"/>
          <w:sz w:val="20"/>
        </w:rPr>
        <w:t>Third, we additionally validate the Firm A benchmark through three complementary analyses reported in Section IV-G. Only the partner-level ranking is fully threshold-free; the longitudinal-stability and intra-report analyses use the operational classifier and are interpreted as consistency checks on its firm-level output: (a) Longitudinal stability (Section IV-G.1). The share of Firm A per-signature best-match cosine values below 0.95 is stable at 6-13% across 2013-2023, with the lowest share in 2023. The 0.95 cutoff is the whole-sample Firm A P7.5 heuristic (Section III-K; 92.5% of whole-sample Firm A signatures exceed this cutoff); the substantive finding here is the temporal stability of the rate, not the absolute rate at any single year. (b) Partner-level similarity ranking (Section IV-G.2). When every auditor-year is ranked globally by its per-auditor-year mean best-match cosine (across all firms: Big-4 and Non-Big-4), Firm A auditor-years account for 95.9% of the top decile against a baseline share of 27.8% (a 3.5$\times$ concentration ratio), and this over-representation is stable across 2013-2023. This analysis uses only the ordinal ranking and is independent of any absolute cutoff. (c) Intra-report consistency (Section IV-G.3). Because each Taiwanese statutory audit report is co-signed by two engagement partners, firm-wide stamping practice predicts that both signers on a given Firm A report should receive the same signature-level label under the classifier. Firm A exhibits 89.9% intra-report agreement against 62-67% at the other Big-4 firms. This test uses the operational classifier and is therefore a consistency check on the classifier's firm-level output rather than a threshold-free test; the cross-firm gap (not the absolute rate) is the substantive finding.</w:t>
      </w:r>
    </w:p>
    <w:p>
      <w:pPr>
        <w:spacing w:after="120"/>
      </w:pPr>
      <w:r>
        <w:rPr>
          <w:rFonts w:ascii="Times New Roman" w:hAnsi="Times New Roman"/>
          <w:sz w:val="20"/>
        </w:rPr>
        <w:t>We emphasize that the 92.5% figure is a within-sample consistency check rather than an independent validation of Firm A's status; the validation role is played by the byte-level pixel-identity evidence, the unimodal-long-tail dip-test result, the three complementary analyses above, and the held-out Firm A fold (described in Section III-J; fold-level rate differences are disclosed in Section IV-F.2).</w:t>
      </w:r>
    </w:p>
    <w:p>
      <w:pPr>
        <w:spacing w:after="120"/>
      </w:pPr>
      <w:r>
        <w:rPr>
          <w:rFonts w:ascii="Times New Roman" w:hAnsi="Times New Roman"/>
          <w:sz w:val="20"/>
        </w:rPr>
        <w:t>We emphasize that Firm A's replication-dominated status was not derived from the thresholds we calibrate against it. Its identification rests on the byte-level pair evidence and the dip-test-confirmed unimodal-long-tail shape, both of which are independent of any threshold choice. The "replication-dominated, not pure" framing is important both for internal consistency—it predicts and explains the long left tail observed in Firm A's cosine distribution (Section IV-D)—and for avoiding overclaim in downstream inference.</w:t>
      </w:r>
    </w:p>
    <w:p>
      <w:pPr>
        <w:pStyle w:val="Heading2"/>
      </w:pPr>
      <w:r>
        <w:rPr>
          <w:color w:val="000000"/>
        </w:rPr>
        <w:t>I. Signature-Level Threshold Characterisation</w:t>
      </w:r>
    </w:p>
    <w:p>
      <w:pPr>
        <w:spacing w:after="120"/>
      </w:pPr>
      <w:r>
        <w:rPr>
          <w:rFonts w:ascii="Times New Roman" w:hAnsi="Times New Roman"/>
          <w:sz w:val="20"/>
        </w:rPr>
        <w:t>This section describes how we set the operational classifier's similarity threshold and how we characterise the per-signature similarity distribution that supports it. The two roles are kept separate by design.</w:t>
      </w:r>
    </w:p>
    <w:p>
      <w:pPr>
        <w:spacing w:after="120"/>
      </w:pPr>
      <w:r>
        <w:rPr>
          <w:rFonts w:ascii="Times New Roman" w:hAnsi="Times New Roman"/>
          <w:sz w:val="20"/>
        </w:rPr>
        <w:t>&gt; Operational threshold (used by the classifier). The cosine cut is anchored on the whole-sample Firm A P7.5 percentile (cos $&gt; 0.95$; Section III-K). &gt; &gt; Statistical characterisation (used to motivate the choice of anchor and to describe the distributional structure). A Hartigan dip test, an EM-fitted Beta mixture (with logit-Gaussian robustness check), and a Burgstahler-Dichev / McCrary density-smoothness procedure—all applied at the per-signature level (Section IV-D).</w:t>
      </w:r>
    </w:p>
    <w:p>
      <w:pPr>
        <w:spacing w:after="120"/>
      </w:pPr>
      <w:r>
        <w:rPr>
          <w:rFonts w:ascii="Times New Roman" w:hAnsi="Times New Roman"/>
          <w:sz w:val="20"/>
        </w:rPr>
        <w:t>The reason for the split is empirical. The three statistical diagnostics jointly find that per-signature similarity forms a continuous quality spectrum (Section IV-D, summarised below): the dip test fails to reject unimodality for Firm A; BIC strongly prefers a 3-component over a 2-component Beta fit, so the 2-component crossing is a forced fit; and the BD/McCrary candidate transition lies inside the non-hand-signed mode rather than between modes (and is not bin-width-stable; Appendix A). Under these conditions the natural anchor for an operational cosine cut is a transparent percentile of a replication-dominated reference population (Firm A) rather than a mixture-fit crossing whose location depends on parametric assumptions the data do not support.</w:t>
      </w:r>
    </w:p>
    <w:p>
      <w:pPr>
        <w:spacing w:after="120"/>
      </w:pPr>
      <w:r>
        <w:rPr>
          <w:rFonts w:ascii="Times New Roman" w:hAnsi="Times New Roman"/>
          <w:sz w:val="20"/>
        </w:rPr>
        <w:t>We describe the three diagnostics and the assumptions underlying each in the subsections below. The two threshold estimators rest on decreasing-in-strength assumptions: the KDE antimode/crossover requires only smoothness; the Beta mixture additionally requires a parametric specification, and the logit-Gaussian cross-check reports sensitivity to that form. The Burgstahler-Dichev / McCrary procedure is applied to the same distribution as a density-smoothness diagnostic: it would identify a sharp local density discontinuity if one existed at the boundary between two cleanly separated mechanisms. Because all three diagnostics are applied to the same sample rather than to independent experiments, agreement or disagreement among them is read as evidence about distributional structure rather than as a formal statistical guarantee.</w:t>
      </w:r>
    </w:p>
    <w:p>
      <w:pPr>
        <w:pStyle w:val="Heading3"/>
      </w:pPr>
      <w:r>
        <w:rPr>
          <w:color w:val="000000"/>
        </w:rPr>
        <w:t>1) Method 1: KDE Antimode / Crossover with Unimodality Test</w:t>
      </w:r>
    </w:p>
    <w:p>
      <w:pPr>
        <w:spacing w:after="120"/>
      </w:pPr>
      <w:r>
        <w:rPr>
          <w:rFonts w:ascii="Times New Roman" w:hAnsi="Times New Roman"/>
          <w:sz w:val="20"/>
        </w:rPr>
        <w:t>We use two closely related KDE-based threshold estimators and apply each where it is appropriate. When two labeled populations are available (e.g., the all-pairs intra-class and inter-class similarity distributions of Section IV-C), the KDE crossover is the intersection point of the two kernel density estimates under Scott's rule for bandwidth selection [28]; under equal priors and symmetric misclassification costs it approximates the Bayes-optimal decision boundary between the two classes. When a single distribution is analysed (e.g., the per-signature best-match cosine distribution of Section IV-D) the KDE antimode is the local density minimum between two modes of the fitted density; it serves the same decision-theoretic role when the distribution is multimodal but is undefined when the distribution is unimodal. In either case we use the Hartigan &amp; Hartigan dip test [37] as a formal test of unimodality. The dip test asks one question: is the distribution single-peaked? A non-significant $p$-value means we cannot reject the single-peak null (the data are consistent with one peak); a significant $p$-value means the distribution has more than one peak (it could be two, three, or more—the test does not specify how many). We use the test to decide whether a KDE antimode is well-defined (it is, only when there is more than one peak), not to assert any particular number of components. We additionally perform a sensitivity analysis varying the bandwidth over $\pm 50\%$ of the Scott's-rule value to verify threshold stability.</w:t>
      </w:r>
    </w:p>
    <w:p>
      <w:pPr>
        <w:pStyle w:val="Heading3"/>
      </w:pPr>
      <w:r>
        <w:rPr>
          <w:color w:val="000000"/>
        </w:rPr>
        <w:t>2) Method 2: Finite Mixture Model via EM</w:t>
      </w:r>
    </w:p>
    <w:p>
      <w:pPr>
        <w:spacing w:after="120"/>
      </w:pPr>
      <w:r>
        <w:rPr>
          <w:rFonts w:ascii="Times New Roman" w:hAnsi="Times New Roman"/>
          <w:sz w:val="20"/>
        </w:rPr>
        <w:t>We fit a two-component Beta mixture to the cosine distribution via the EM algorithm [40] using method-of-moments M-step estimates (which are numerically stable for bounded proportion data). The first component represents non-hand-signed signatures (high mean, narrow spread) and the second represents hand-signed signatures (lower mean, wider spread). Under the fitted model the threshold is the crossing point of the two weighted component densities,</w:t>
      </w:r>
    </w:p>
    <w:p>
      <w:pPr>
        <w:spacing w:after="120"/>
      </w:pPr>
      <w:r>
        <w:rPr>
          <w:rFonts w:ascii="Times New Roman" w:hAnsi="Times New Roman"/>
          <w:sz w:val="20"/>
        </w:rPr>
        <w:t>\pi_1 \cdot \text{Beta}(x; \alpha_1, \beta_1) = (1 - \pi_1) \cdot \text{Beta}(x; \alpha_2, \beta_2),</w:t>
      </w:r>
    </w:p>
    <w:p>
      <w:pPr>
        <w:spacing w:after="120"/>
      </w:pPr>
      <w:r>
        <w:rPr>
          <w:rFonts w:ascii="Times New Roman" w:hAnsi="Times New Roman"/>
          <w:sz w:val="20"/>
        </w:rPr>
        <w:t>solved numerically via bracketed root-finding. As a robustness check against the Beta parametric form we fit a parallel two-component Gaussian mixture to the logit-transformed similarity, following standard practice for bounded proportion data. White's [41] quasi-MLE consistency result justifies interpreting the logit-Gaussian estimates as asymptotic approximations to the best Gaussian-family fit under misspecification; we use the cross-check between Beta and logit-Gaussian crossings as a diagnostic of parametric-form sensitivity rather than as a guarantee of distributional recovery.</w:t>
      </w:r>
    </w:p>
    <w:p>
      <w:pPr>
        <w:spacing w:after="120"/>
      </w:pPr>
      <w:r>
        <w:rPr>
          <w:rFonts w:ascii="Times New Roman" w:hAnsi="Times New Roman"/>
          <w:sz w:val="20"/>
        </w:rPr>
        <w:t>We fit 2- and 3-component variants of each mixture and report BIC for model selection. When BIC prefers the 3-component fit, the 2-component assumption itself is a forced fit; we report the resulting crossing only as a forced-fit descriptive reference and do not use it as an operational threshold.</w:t>
      </w:r>
    </w:p>
    <w:p>
      <w:pPr>
        <w:pStyle w:val="Heading3"/>
      </w:pPr>
      <w:r>
        <w:rPr>
          <w:color w:val="000000"/>
        </w:rPr>
        <w:t>3) Density-Smoothness Diagnostic: Burgstahler-Dichev / McCrary</w:t>
      </w:r>
    </w:p>
    <w:p>
      <w:pPr>
        <w:spacing w:after="120"/>
      </w:pPr>
      <w:r>
        <w:rPr>
          <w:rFonts w:ascii="Times New Roman" w:hAnsi="Times New Roman"/>
          <w:sz w:val="20"/>
        </w:rPr>
        <w:t>Complementing the two threshold estimators above, we apply the discontinuity test of Burgstahler and Dichev [38], made asymptotically rigorous by McCrary [39], as a density-smoothness diagnostic rather than as a third threshold estimator. We discretize each distribution (cosine into bins of width 0.005; $\text{dHash}_\text{indep}$ into integer bins) and compute, for each bin $i$ with count $n_i$, the standardized deviation from the smooth-null expectation of the average of its neighbours,</w:t>
      </w:r>
    </w:p>
    <w:p>
      <w:pPr>
        <w:spacing w:after="120"/>
      </w:pPr>
      <w:r>
        <w:rPr>
          <w:rFonts w:ascii="Times New Roman" w:hAnsi="Times New Roman"/>
          <w:sz w:val="20"/>
        </w:rPr>
        <w:t>Z_i = \frac{n_i - \tfrac{1}{2}(n_{i-1} + n_{i+1})}{\sqrt{N p_i (1-p_i) + \tfrac{1}{4} N (p_{i-1}+p_{i+1})(1 - p_{i-1} - p_{i+1})}},</w:t>
      </w:r>
    </w:p>
    <w:p>
      <w:pPr>
        <w:spacing w:after="120"/>
      </w:pPr>
      <w:r>
        <w:rPr>
          <w:rFonts w:ascii="Times New Roman" w:hAnsi="Times New Roman"/>
          <w:sz w:val="20"/>
        </w:rPr>
        <w:t>which is approximately $N(0,1)$ under the null of distributional smoothness. A candidate transition is identified at an adjacent bin pair where $Z_{i-1}$ is significantly negative and $Z_i$ is significantly positive (cosine) or the reverse (dHash). Appendix A reports a bin-width sensitivity sweep covering $\text{bin} \in \{0.003, 0.005, 0.010, 0.015\}$ for cosine and $\text{bin} \in \{1, 2, 3\}$ for dHash; the sweep shows that signature-level BD transitions are not bin-width-stable, consistent with histogram-resolution artifacts rather than a genuine cross-mode density discontinuity. We therefore do not treat the BD/McCrary procedure as a threshold estimator in our application but as diagnostic evidence about distributional smoothness.</w:t>
      </w:r>
    </w:p>
    <w:p>
      <w:pPr>
        <w:pStyle w:val="Heading3"/>
      </w:pPr>
      <w:r>
        <w:rPr>
          <w:color w:val="000000"/>
        </w:rPr>
        <w:t>4) Reading the Three Diagnostics Together</w:t>
      </w:r>
    </w:p>
    <w:p>
      <w:pPr>
        <w:spacing w:after="120"/>
      </w:pPr>
      <w:r>
        <w:rPr>
          <w:rFonts w:ascii="Times New Roman" w:hAnsi="Times New Roman"/>
          <w:sz w:val="20"/>
        </w:rPr>
        <w:t>The two threshold estimators rest on decreasing-in-strength assumptions: the KDE antimode/crossover requires only smoothness; the Beta mixture additionally requires a parametric specification (with logit-Gaussian as a robustness cross-check against that form). If the two estimated thresholds were to differ by less than a practically meaningful margin and the BD/McCrary procedure were to identify a sharp transition at the same level, that pattern would constitute convergent evidence for a clean two-mechanism boundary at that location.</w:t>
      </w:r>
    </w:p>
    <w:p>
      <w:pPr>
        <w:spacing w:after="120"/>
      </w:pPr>
      <w:r>
        <w:rPr>
          <w:rFonts w:ascii="Times New Roman" w:hAnsi="Times New Roman"/>
          <w:sz w:val="20"/>
        </w:rPr>
        <w:t>This is not the pattern we observe at the per-signature level. The two threshold estimators yield crossings spread across a wide range (Section IV-D); the BIC clearly prefers a 3-component over a 2-component Beta fit, indicating that the 2-component crossing is a forced fit reported only as a descriptive reference rather than as an operational threshold; and the BD/McCrary procedure locates its candidate transition inside the non-hand-signed mode rather than between modes (Appendix A). We interpret this jointly as evidence that per-signature similarity is a continuous quality spectrum rather than a clean two-mechanism mixture, and we accordingly anchor the operational classifier's cosine cut on whole-sample Firm A percentile heuristics (Section III-K) rather than on a mixture-fit crossing.</w:t>
      </w:r>
    </w:p>
    <w:p>
      <w:pPr>
        <w:pStyle w:val="Heading2"/>
      </w:pPr>
      <w:r>
        <w:rPr>
          <w:color w:val="000000"/>
        </w:rPr>
        <w:t>J. Pixel-Identity, Inter-CPA, and Held-Out Firm A Validation (No Manual Annotation)</w:t>
      </w:r>
    </w:p>
    <w:p>
      <w:pPr>
        <w:spacing w:after="120"/>
      </w:pPr>
      <w:r>
        <w:rPr>
          <w:rFonts w:ascii="Times New Roman" w:hAnsi="Times New Roman"/>
          <w:sz w:val="20"/>
        </w:rPr>
        <w:t>Rather than construct a stratified manual-annotation validation set, we validate the classifier using four naturally occurring reference populations that require no human labeling:</w:t>
      </w:r>
    </w:p>
    <w:p>
      <w:pPr>
        <w:pStyle w:val="ListNumber"/>
      </w:pPr>
      <w:r>
        <w:rPr>
          <w:rFonts w:ascii="Times New Roman" w:hAnsi="Times New Roman"/>
          <w:sz w:val="20"/>
        </w:rPr>
        <w:t>Pixel-identical anchor (gold positive, conservative subset): signatures whose nearest same-CPA match is byte-identical after crop and normalization.</w:t>
      </w:r>
    </w:p>
    <w:p>
      <w:pPr>
        <w:spacing w:after="120"/>
      </w:pPr>
      <w:r>
        <w:rPr>
          <w:rFonts w:ascii="Times New Roman" w:hAnsi="Times New Roman"/>
          <w:sz w:val="20"/>
        </w:rPr>
        <w:t>Handwriting physics makes byte-identity impossible under independent signing events, so a byte-identical same-CPA pair is pair-level proof of image reuse and—for the byte-identical subset—conservative ground truth for non-hand-signed signatures; the narrow exception, in which a genuinely hand-signed exemplar was subsequently reused as the stamping or e-signature template, is discussed as a Limitation in Section V-G. We further emphasize that this anchor is a subset of the true positive class—only those non-hand-signed signatures whose nearest match happens to be byte-identical—and perfect recall against this anchor therefore does not establish recall against the full non-hand-signed population (Section V-G discusses this further).</w:t>
      </w:r>
    </w:p>
    <w:p>
      <w:pPr>
        <w:pStyle w:val="ListNumber"/>
      </w:pPr>
      <w:r>
        <w:rPr>
          <w:rFonts w:ascii="Times New Roman" w:hAnsi="Times New Roman"/>
          <w:sz w:val="20"/>
        </w:rPr>
        <w:t>Inter-CPA negative anchor (large gold negative): $\sim$50,000 pairs of signatures randomly sampled from *different* CPAs.</w:t>
      </w:r>
    </w:p>
    <w:p>
      <w:pPr>
        <w:spacing w:after="120"/>
      </w:pPr>
      <w:r>
        <w:rPr>
          <w:rFonts w:ascii="Times New Roman" w:hAnsi="Times New Roman"/>
          <w:sz w:val="20"/>
        </w:rPr>
        <w:t>Inter-CPA pairs cannot arise from reuse of a single signer's stored signature image, so this population is a reliable negative class for threshold sweeps. This anchor is substantially larger than a simple low-similarity-same-CPA negative and yields tight Wilson 95% confidence intervals on FAR at each candidate threshold.</w:t>
      </w:r>
    </w:p>
    <w:p>
      <w:pPr>
        <w:pStyle w:val="ListNumber"/>
      </w:pPr>
      <w:r>
        <w:rPr>
          <w:rFonts w:ascii="Times New Roman" w:hAnsi="Times New Roman"/>
          <w:sz w:val="20"/>
        </w:rPr>
        <w:t>Firm A anchor (replication-dominated prior positive): Firm A signatures, treated as a majority-positive reference with within-firm heterogeneity in the left tail, as evidenced by the 7.5% of Firm A signatures whose per-signature best-match cosine falls at or below 0.95 (Section III-H, Section IV-D).</w:t>
      </w:r>
    </w:p>
    <w:p>
      <w:pPr>
        <w:spacing w:after="120"/>
      </w:pPr>
      <w:r>
        <w:rPr>
          <w:rFonts w:ascii="Times New Roman" w:hAnsi="Times New Roman"/>
          <w:sz w:val="20"/>
        </w:rPr>
        <w:t>Because Firm A is both used for empirical percentile calibration in Section III-H and as a validation anchor, we make the within-Firm-A sampling variance visible by splitting Firm A CPAs randomly (at the CPA level, not the signature level) into a 70% calibration fold and a 30% heldout fold. The calibration-fold percentiles used in thresholding—cosine median, P1, and P5 (lower-tail, since higher cosine indicates greater similarity), and dHash_indep median and P95 (upper-tail, since lower dHash indicates greater similarity)—are derived from the 70% calibration fold only. The heldout fold is used exclusively to report post-hoc capture rates with Wilson 95% confidence intervals.</w:t>
      </w:r>
    </w:p>
    <w:p>
      <w:pPr>
        <w:pStyle w:val="ListNumber"/>
      </w:pPr>
      <w:r>
        <w:rPr>
          <w:rFonts w:ascii="Times New Roman" w:hAnsi="Times New Roman"/>
          <w:sz w:val="20"/>
        </w:rPr>
        <w:t>Low-similarity same-CPA anchor (supplementary negative): signatures whose maximum same-CPA cosine similarity is below 0.70.</w:t>
      </w:r>
    </w:p>
    <w:p>
      <w:pPr>
        <w:spacing w:after="120"/>
      </w:pPr>
      <w:r>
        <w:rPr>
          <w:rFonts w:ascii="Times New Roman" w:hAnsi="Times New Roman"/>
          <w:sz w:val="20"/>
        </w:rPr>
        <w:t>This anchor is retained for continuity with prior work but is small in our dataset ($n = 35$) and is reported only as a supplementary reference; its confidence intervals are too wide for quantitative inference.</w:t>
      </w:r>
    </w:p>
    <w:p>
      <w:pPr>
        <w:spacing w:after="120"/>
      </w:pPr>
      <w:r>
        <w:rPr>
          <w:rFonts w:ascii="Times New Roman" w:hAnsi="Times New Roman"/>
          <w:sz w:val="20"/>
        </w:rPr>
        <w:t>From these anchors we report FAR with Wilson 95% confidence intervals against the inter-CPA negative anchor. We do not report an Equal Error Rate or FRR column against the byte-identical positive anchor, because byte-identical pairs have cosine $\approx 1$ by construction and any FRR computed against that subset is trivially $0$ at every threshold below $1$; the conservative-subset role of the byte-identical anchor is instead discussed qualitatively in Section V-F. Precision and $F_1$ are not meaningful in this anchor-based evaluation because the positive and negative anchors are constructed from different sampling units (intra-CPA byte-identical pairs vs random inter-CPA pairs), so their relative prevalence in the combined set is an arbitrary construction rather than a population parameter; we therefore omit precision and $F_1$ from Table X. The 70/30 held-out Firm A fold of Section IV-F.2 additionally reports capture rates with Wilson 95% confidence intervals computed within the held-out fold, which is a valid population for rate inference.</w:t>
      </w:r>
    </w:p>
    <w:p>
      <w:pPr>
        <w:pStyle w:val="Heading2"/>
      </w:pPr>
      <w:r>
        <w:rPr>
          <w:color w:val="000000"/>
        </w:rPr>
        <w:t>K. Per-Document Classification</w:t>
      </w:r>
    </w:p>
    <w:p>
      <w:pPr>
        <w:spacing w:after="120"/>
      </w:pPr>
      <w:r>
        <w:rPr>
          <w:rFonts w:ascii="Times New Roman" w:hAnsi="Times New Roman"/>
          <w:sz w:val="20"/>
        </w:rPr>
        <w:t>The per-signature classifier operates at the signature level with operational thresholds anchored on whole-sample Firm A percentile heuristics: cos $&gt; 0.95$ (Firm A P7.5) for the cosine dimension and dHash$_\text{indep} \leq 5$ / $&gt; 15$ (Firm A median+P75 / style-consistency ceiling) for the structural dimension. This percentile-based anchor is the natural choice given the continuous-spectrum shape of the per-signature similarity distribution documented in Section IV-D; sensitivity to nearby alternatives is reported in Section IV-F.3. All dHash references in this section refer to the independent-minimum dHash defined in Section III-G—the smallest Hamming distance from a signature to any other same-CPA signature. We use a single dHash statistic throughout the operational classifier and the supporting capture-rate analyses (Tables IX, XI, XII, XVI), which keeps the classifier definition and its empirical evaluation arithmetically consistent.</w:t>
      </w:r>
    </w:p>
    <w:p>
      <w:pPr>
        <w:spacing w:after="120"/>
      </w:pPr>
      <w:r>
        <w:rPr>
          <w:rFonts w:ascii="Times New Roman" w:hAnsi="Times New Roman"/>
          <w:sz w:val="20"/>
        </w:rPr>
        <w:t>We assign each signature to one of five signature-level categories using convergent evidence from both descriptors:</w:t>
      </w:r>
    </w:p>
    <w:p>
      <w:pPr>
        <w:pStyle w:val="ListNumber"/>
      </w:pPr>
      <w:r>
        <w:rPr>
          <w:rFonts w:ascii="Times New Roman" w:hAnsi="Times New Roman"/>
          <w:sz w:val="20"/>
        </w:rPr>
        <w:t>High-confidence non-hand-signed: Cosine $&gt; 0.95$ AND $\text{dHash}_\text{indep} \leq 5$.</w:t>
      </w:r>
    </w:p>
    <w:p>
      <w:pPr>
        <w:spacing w:after="120"/>
      </w:pPr>
      <w:r>
        <w:rPr>
          <w:rFonts w:ascii="Times New Roman" w:hAnsi="Times New Roman"/>
          <w:sz w:val="20"/>
        </w:rPr>
        <w:t>Both descriptors converge on strong replication evidence.</w:t>
      </w:r>
    </w:p>
    <w:p>
      <w:pPr>
        <w:pStyle w:val="ListNumber"/>
      </w:pPr>
      <w:r>
        <w:rPr>
          <w:rFonts w:ascii="Times New Roman" w:hAnsi="Times New Roman"/>
          <w:sz w:val="20"/>
        </w:rPr>
        <w:t>Moderate-confidence non-hand-signed: Cosine $&gt; 0.95$ AND $5 &lt; \text{dHash}_\text{indep} \leq 15$.</w:t>
      </w:r>
    </w:p>
    <w:p>
      <w:pPr>
        <w:spacing w:after="120"/>
      </w:pPr>
      <w:r>
        <w:rPr>
          <w:rFonts w:ascii="Times New Roman" w:hAnsi="Times New Roman"/>
          <w:sz w:val="20"/>
        </w:rPr>
        <w:t>Feature-level evidence is strong; structural similarity is present but below the high-confidence cutoff, potentially due to scan variations.</w:t>
      </w:r>
    </w:p>
    <w:p>
      <w:pPr>
        <w:pStyle w:val="ListNumber"/>
      </w:pPr>
      <w:r>
        <w:rPr>
          <w:rFonts w:ascii="Times New Roman" w:hAnsi="Times New Roman"/>
          <w:sz w:val="20"/>
        </w:rPr>
        <w:t>High style consistency: Cosine $&gt; 0.95$ AND $\text{dHash}_\text{indep} &gt; 15$.</w:t>
      </w:r>
    </w:p>
    <w:p>
      <w:pPr>
        <w:spacing w:after="120"/>
      </w:pPr>
      <w:r>
        <w:rPr>
          <w:rFonts w:ascii="Times New Roman" w:hAnsi="Times New Roman"/>
          <w:sz w:val="20"/>
        </w:rPr>
        <w:t>High feature-level similarity without structural corroboration—consistent with a CPA who signs very consistently but not via image reproduction.</w:t>
      </w:r>
    </w:p>
    <w:p>
      <w:pPr>
        <w:pStyle w:val="ListNumber"/>
      </w:pPr>
      <w:r>
        <w:rPr>
          <w:rFonts w:ascii="Times New Roman" w:hAnsi="Times New Roman"/>
          <w:sz w:val="20"/>
        </w:rPr>
        <w:t>Uncertain: Cosine between the all-pairs intra/inter KDE crossover (0.837) and 0.95 without sufficient convergent evidence for classification in either direction.</w:t>
      </w:r>
    </w:p>
    <w:p>
      <w:pPr>
        <w:pStyle w:val="ListNumber"/>
      </w:pPr>
      <w:r>
        <w:rPr>
          <w:rFonts w:ascii="Times New Roman" w:hAnsi="Times New Roman"/>
          <w:sz w:val="20"/>
        </w:rPr>
        <w:t>Likely hand-signed: Cosine below the all-pairs KDE crossover threshold.</w:t>
      </w:r>
    </w:p>
    <w:p>
      <w:pPr>
        <w:spacing w:after="120"/>
      </w:pPr>
      <w:r>
        <w:rPr>
          <w:rFonts w:ascii="Times New Roman" w:hAnsi="Times New Roman"/>
          <w:sz w:val="20"/>
        </w:rPr>
        <w:t>We note three conventions about the thresholds. First, the cosine cutoff $0.95$ corresponds to approximately the whole-sample Firm A P7.5 of the per-signature best-match cosine distribution—that is, 92.5% of whole-sample Firm A signatures exceed this cutoff and 7.5% fall at or below it (Section III-H)—chosen as a round-number lower-tail boundary whose complement (92.5% above) has a transparent interpretation in the whole-sample reference distribution; the cosine crossover $0.837$ is the all-pairs intra/inter KDE crossover; both are derived from whole-sample distributions rather than from the 70% calibration fold, so the classifier inherits its operational cosine cuts from the whole-sample Firm A and all-pairs distributions. Section IV-F.3 reports a sensitivity check confirming that replacing $0.95$ with the nearby rounded sensitivity cut $0.945$ (motivated by the calibration-fold P5 = 0.9407, see Section IV-F.2) shifts whole-Firm-A dual-rule capture by 1.19 percentage points, so the round-number heuristic is robust to nearby percentile-based alternatives. Section IV-F.2 reports both calibration-fold and held-out-fold capture rates for this classifier so that fold-level sampling variance is visible. Second, the dHash cutoffs $\leq 5$ and $&gt; 15$ are chosen from the whole-sample Firm A $\text{dHash}_\text{indep}$ distribution: $\leq 5$ captures the upper tail of the high-similarity mode (whole-sample Firm A median $\text{dHash}_\text{indep} = 2$, P75 $\approx 4$, so $\leq 5$ is the band immediately above median), while $&gt; 15$ marks the regime in which independent-minimum structural similarity is no longer indicative of image reproduction. Third, the signature-level threshold-estimator outputs of Section IV-D (KDE antimode, Beta-mixture and logit-Gaussian crossings, BD/McCrary diagnostic) are not the operational thresholds of this classifier: they are descriptive characterisation of the per-signature similarity distribution, and Section IV-D shows they do not converge to a clean two-mechanism boundary at the per-signature level—which is why the operational cosine cut is anchored on the whole-sample Firm A percentile rather than on any mixture-fit crossing.</w:t>
      </w:r>
    </w:p>
    <w:p>
      <w:pPr>
        <w:spacing w:after="120"/>
      </w:pPr>
      <w:r>
        <w:rPr>
          <w:rFonts w:ascii="Times New Roman" w:hAnsi="Times New Roman"/>
          <w:sz w:val="20"/>
        </w:rPr>
        <w:t>Because each audit report typically carries two certifying-CPA signatures (Section III-D), we aggregate signature-level outcomes to document-level labels using a worst-case rule: the document inherits the most-replication-consistent signature label (i.e., among the two signatures, the label rank ordered High-confidence $&gt;$ Moderate-confidence $&gt;$ Style-consistency $&gt;$ Uncertain $&gt;$ Likely-hand-signed determines the document's classification). This rule is consistent with the detection goal of flagging any potentially non-hand-signed report rather than requiring all signatures on the report to converge.</w:t>
      </w:r>
    </w:p>
    <w:p>
      <w:pPr>
        <w:pStyle w:val="Heading2"/>
      </w:pPr>
      <w:r>
        <w:rPr>
          <w:color w:val="000000"/>
        </w:rPr>
        <w:t>L. Data Source and Firm Anonymization</w:t>
      </w:r>
    </w:p>
    <w:p>
      <w:pPr>
        <w:spacing w:after="120"/>
      </w:pPr>
      <w:r>
        <w:rPr>
          <w:rFonts w:ascii="Times New Roman" w:hAnsi="Times New Roman"/>
          <w:sz w:val="20"/>
        </w:rPr>
        <w:t>Audit-report corpus. The 90,282 audit-report PDFs analyzed in this study were obtained from the Market Observation Post System (MOPS) operated by the Taiwan Stock Exchange Corporation. MOPS is the statutory public-disclosure platform for Taiwan-listed companies; every audit report filed on MOPS is already a publicly accessible regulatory document. We did not access any non-public auditor work papers, internal firm records, or personally identifying information beyond the certifying CPAs' names and signatures, which are themselves published on the face of the audit report as part of the public regulatory filing. The CPA registry used to map signatures to CPAs is a publicly available audit-firm tenure registry (Section III-B).</w:t>
      </w:r>
    </w:p>
    <w:p>
      <w:pPr>
        <w:spacing w:after="120"/>
      </w:pPr>
      <w:r>
        <w:rPr>
          <w:rFonts w:ascii="Times New Roman" w:hAnsi="Times New Roman"/>
          <w:sz w:val="20"/>
        </w:rPr>
        <w:t>Firm-level anonymization. Although all audit reports and CPA identities in the corpus are public, we report firm-level results under the pseudonyms Firm A / B / C / D throughout this paper to avoid naming specific accounting firms in descriptive rate comparisons. Readers with domain familiarity may still infer Firm A from contextual descriptors (Big-4 status, replication-dominated behavior); we disclose this residual identifiability explicitly and note that none of the paper's conclusions depend on the specific firm's name.</w:t>
      </w:r>
    </w:p>
    <w:p>
      <w:pPr>
        <w:pStyle w:val="Heading1"/>
      </w:pPr>
      <w:r>
        <w:rPr>
          <w:color w:val="000000"/>
        </w:rPr>
        <w:t>IV. Experiments and Results</w:t>
      </w:r>
    </w:p>
    <w:p>
      <w:pPr>
        <w:pStyle w:val="Heading2"/>
      </w:pPr>
      <w:r>
        <w:rPr>
          <w:color w:val="000000"/>
        </w:rPr>
        <w:t>A. Experimental Setup</w:t>
      </w:r>
    </w:p>
    <w:p>
      <w:pPr>
        <w:spacing w:after="120"/>
      </w:pPr>
      <w:r>
        <w:rPr>
          <w:rFonts w:ascii="Times New Roman" w:hAnsi="Times New Roman"/>
          <w:sz w:val="20"/>
        </w:rPr>
        <w:t>Experiments used mixed hardware: YOLOv11n training and inference for signature detection, and ResNet-50 forward inference for feature extraction over all 182,328 detected signatures, were performed on an Nvidia RTX 4090 (CUDA); the downstream statistical analyses (KDE antimode, Hartigan dip test, Beta-mixture EM with logit-Gaussian robustness check, Burgstahler-Dichev/McCrary density-smoothness diagnostic, and pairwise cosine/dHash computations) were performed on an Apple Silicon workstation with Metal Performance Shaders (MPS) acceleration. Feature extraction used PyTorch 2.9 with torchvision model implementations. The complete pipeline—from raw PDF processing through final classification—was implemented in Python. Because all steps rely on deterministic forward inference over fixed pre-trained weights (no fine-tuning) plus fixed-seed numerical procedures, reported results are platform-independent to within floating-point precision.</w:t>
      </w:r>
    </w:p>
    <w:p>
      <w:pPr>
        <w:pStyle w:val="Heading2"/>
      </w:pPr>
      <w:r>
        <w:rPr>
          <w:color w:val="000000"/>
        </w:rPr>
        <w:t>B. Signature Detection Performance</w:t>
      </w:r>
    </w:p>
    <w:p>
      <w:pPr>
        <w:spacing w:after="120"/>
      </w:pPr>
      <w:r>
        <w:rPr>
          <w:rFonts w:ascii="Times New Roman" w:hAnsi="Times New Roman"/>
          <w:sz w:val="20"/>
        </w:rPr>
        <w:t>The YOLOv11n model achieved high detection performance on the validation set (Table II), with all loss components converging by epoch 60 and no significant overfitting despite the relatively small training set (425 images). We note that Table II reports validation-set metrics, as no separate hold-out test set was reserved given the small annotation budget (500 images total). However, the subsequent production deployment provides practical validation: batch inference on 86,071 documents yielded 182,328 extracted signatures (Table III), with an average of 2.14 signatures per document, consistent with the standard practice of two certifying CPAs per audit report. The high VLM--YOLO agreement rate (98.8%) further corroborates detection reliability at scale.</w:t>
      </w:r>
    </w:p>
    <w:p>
      <w:pPr>
        <w:pStyle w:val="Heading2"/>
      </w:pPr>
      <w:r>
        <w:rPr>
          <w:color w:val="000000"/>
        </w:rPr>
        <w:t>C. All-Pairs Intra-vs-Inter Class Distribution Analysis</w:t>
      </w:r>
    </w:p>
    <w:p>
      <w:pPr>
        <w:spacing w:after="120"/>
      </w:pPr>
      <w:r>
        <w:rPr>
          <w:rFonts w:ascii="Times New Roman" w:hAnsi="Times New Roman"/>
          <w:sz w:val="20"/>
        </w:rPr>
        <w:t>Fig. 2 presents the cosine similarity distributions computed over the full set of pairwise comparisons under two groupings: intra-class (all signature pairs belonging to the same CPA) and inter-class (signature pairs from different CPAs). This all-pairs analysis is a different unit from the per-signature best-match statistics used in Sections IV-D onward; we report it first because it supplies the reference point for the KDE crossover used in per-document classification (Section III-K). Table IV summarizes the distributional statistics.</w:t>
      </w:r>
    </w:p>
    <w:p>
      <w:pPr>
        <w:spacing w:after="120"/>
      </w:pPr>
      <w:r>
        <w:rPr>
          <w:rFonts w:ascii="Times New Roman" w:hAnsi="Times New Roman"/>
          <w:sz w:val="20"/>
        </w:rPr>
        <w:t>Both distributions are left-skewed and leptokurtic. Shapiro-Wilk and Kolmogorov-Smirnov tests rejected normality for both ($p &lt; 0.001$), confirming that parametric thresholds based on normality assumptions would be inappropriate. Distribution fitting identified the lognormal distribution as the best parametric fit (lowest AIC) for both classes, though we use this result only descriptively; all subsequent threshold-estimator outputs reported in Section IV-D are derived via the methods of Section III-I to avoid single-family distributional assumptions.</w:t>
      </w:r>
    </w:p>
    <w:p>
      <w:pPr>
        <w:spacing w:after="120"/>
      </w:pPr>
      <w:r>
        <w:rPr>
          <w:rFonts w:ascii="Times New Roman" w:hAnsi="Times New Roman"/>
          <w:sz w:val="20"/>
        </w:rPr>
        <w:t>The KDE crossover—where the two density functions intersect—was located at 0.837 (Table V). Under equal prior probabilities and equal misclassification costs, this crossover approximates the Bayes-optimal boundary between the two classes. Statistical tests confirmed significant separation between the two distributions (Cohen's $d = 0.669$, Mann-Whitney [36] $p &lt; 0.001$, K-S 2-sample $p &lt; 0.001$).</w:t>
      </w:r>
    </w:p>
    <w:p>
      <w:pPr>
        <w:spacing w:after="120"/>
      </w:pPr>
      <w:r>
        <w:rPr>
          <w:rFonts w:ascii="Times New Roman" w:hAnsi="Times New Roman"/>
          <w:sz w:val="20"/>
        </w:rPr>
        <w:t>We emphasize that pairwise observations are not independent—the same signature participates in multiple pairs—which inflates the effective sample size and renders $p$-values unreliable as measures of evidence strength. We therefore rely primarily on Cohen's $d$ as an effect-size measure that is less sensitive to sample size. A Cohen's $d$ of 0.669 indicates a medium effect size [29], confirming that the distributional difference is practically meaningful, not merely an artifact of the large sample count.</w:t>
      </w:r>
    </w:p>
    <w:p>
      <w:pPr>
        <w:pStyle w:val="Heading2"/>
      </w:pPr>
      <w:r>
        <w:rPr>
          <w:color w:val="000000"/>
        </w:rPr>
        <w:t>D. Signature-Level Distributional Characterisation</w:t>
      </w:r>
    </w:p>
    <w:p>
      <w:pPr>
        <w:spacing w:after="120"/>
      </w:pPr>
      <w:r>
        <w:rPr>
          <w:rFonts w:ascii="Times New Roman" w:hAnsi="Times New Roman"/>
          <w:sz w:val="20"/>
        </w:rPr>
        <w:t>This section applies the threshold-estimator and density-smoothness diagnostic of Section III-I to the per-signature similarity distribution. The joint reading is that per-signature similarity is a continuous quality spectrum rather than a clean two-mechanism mixture, which is why the operational classifier (Section III-K) anchors its cosine cut on the whole-sample Firm A P7.5 percentile rather than on any mixture-fit crossing.</w:t>
      </w:r>
    </w:p>
    <w:p>
      <w:pPr>
        <w:pStyle w:val="Heading3"/>
      </w:pPr>
      <w:r>
        <w:rPr>
          <w:color w:val="000000"/>
        </w:rPr>
        <w:t>1) Hartigan Dip Test: Unimodality at the Signature Level</w:t>
      </w:r>
    </w:p>
    <w:p>
      <w:pPr>
        <w:spacing w:after="120"/>
      </w:pPr>
      <w:r>
        <w:rPr>
          <w:rFonts w:ascii="Times New Roman" w:hAnsi="Times New Roman"/>
          <w:sz w:val="20"/>
        </w:rPr>
        <w:t>Applying the Hartigan &amp; Hartigan dip test [37] to the per-signature best-match distributions reveals a critical structural finding (Table V). The $N = 168{,}740$ count used in Table V and in the downstream same-CPA per-signature best-match analyses (Tables V and XII, and the Firm-A per-signature rows of Tables XIII and XVIII) is $15$ signatures smaller than the $168{,}755$ CPA-matched count reported in Table III: these $15$ signatures belong to CPAs with exactly one signature in the entire corpus, for whom no same-CPA pairwise best-match statistic can be computed, and are therefore excluded from all same-CPA similarity analyses.</w:t>
      </w:r>
    </w:p>
    <w:p>
      <w:pPr>
        <w:spacing w:after="120"/>
      </w:pPr>
      <w:r>
        <w:rPr>
          <w:rFonts w:ascii="Times New Roman" w:hAnsi="Times New Roman"/>
          <w:sz w:val="20"/>
        </w:rPr>
        <w:t>Firm A's per-signature cosine distribution fails to reject unimodality ($p = 0.17$), a pattern consistent with a dominant high-similarity regime plus a long left tail attributable to within-firm heterogeneity in signing outputs (Section III-G discusses the scope of partner-level claims). The all-CPA cosine distribution, which mixes many firms with heterogeneous signing practices, is multimodal ($p &lt; 0.001$). The Firm A unimodal-long-tail finding is, in conjunction with the byte-identity, partner-ranking, and intra-report evidence reported below, consistent with the replication-dominated framing (Section III-H): a dominant high-similarity regime plus residual within-firm heterogeneity, rather than two cleanly separated mechanisms.</w:t>
      </w:r>
    </w:p>
    <w:p>
      <w:pPr>
        <w:pStyle w:val="Heading3"/>
      </w:pPr>
      <w:r>
        <w:rPr>
          <w:color w:val="000000"/>
        </w:rPr>
        <w:t>2) Burgstahler-Dichev / McCrary Density-Smoothness Diagnostic</w:t>
      </w:r>
    </w:p>
    <w:p>
      <w:pPr>
        <w:spacing w:after="120"/>
      </w:pPr>
      <w:r>
        <w:rPr>
          <w:rFonts w:ascii="Times New Roman" w:hAnsi="Times New Roman"/>
          <w:sz w:val="20"/>
        </w:rPr>
        <w:t>Applying the BD/McCrary procedure (Section III-I.3) to the per-signature cosine distribution yields a nominally significant $Z^- \rightarrow Z^+$ transition at cosine 0.985 for Firm A and 0.985 for the full sample; the min-dHash distributions exhibit a transition at Hamming distance 2 for both Firm A and the full sample under the bin width ($0.005$ / $1$) used here. Two cautions, however, prevent us from treating these signature-level transitions as thresholds. First, the cosine transition at 0.985 lies inside the non-hand-signed mode rather than at the separation between two mechanisms, consistent with the dip-test finding that per-signature cosine is not cleanly bimodal. Second, Appendix A documents that the signature-level transition locations are not bin-width-stable (Firm A cosine drifts across 0.987, 0.985, 0.980, 0.975 as the bin width is widened from 0.003 to 0.015, and full-sample dHash transitions drift across 2, 10, 9 as bin width grows from 1 to 3), which is characteristic of a histogram-resolution artifact rather than of a genuine density discontinuity between two mechanisms. We therefore use BD/McCrary as a density-smoothness diagnostic rather than as an independent threshold estimator.</w:t>
      </w:r>
    </w:p>
    <w:p>
      <w:pPr>
        <w:pStyle w:val="Heading3"/>
      </w:pPr>
      <w:r>
        <w:rPr>
          <w:color w:val="000000"/>
        </w:rPr>
        <w:t>3) Beta Mixture at Signature Level: A Forced Fit</w:t>
      </w:r>
    </w:p>
    <w:p>
      <w:pPr>
        <w:spacing w:after="120"/>
      </w:pPr>
      <w:r>
        <w:rPr>
          <w:rFonts w:ascii="Times New Roman" w:hAnsi="Times New Roman"/>
          <w:sz w:val="20"/>
        </w:rPr>
        <w:t>Fitting 2- and 3-component Beta mixtures to Firm A's per-signature cosine via EM yields a clear BIC preference for the 3-component fit ($\Delta\text{BIC} = 381$), with a parallel preference under the logit-GMM robustness check. For the full-sample cosine the 3-component fit is likewise strongly preferred ($\Delta\text{BIC} = 10{,}175$). Under the forced 2-component fit the Firm A Beta crossing lies at 0.977 and the logit-GMM crossing at 0.999—values sharply inconsistent with each other, indicating that the 2-component parametric structure is not supported by the data. Under the full-sample 2-component forced fit no Beta crossing is identified; the logit-GMM crossing is at 0.980.</w:t>
      </w:r>
    </w:p>
    <w:p>
      <w:pPr>
        <w:pStyle w:val="Heading3"/>
      </w:pPr>
      <w:r>
        <w:rPr>
          <w:color w:val="000000"/>
        </w:rPr>
        <w:t>4) Joint Reading of the Three Diagnostics</w:t>
      </w:r>
    </w:p>
    <w:p>
      <w:pPr>
        <w:spacing w:after="120"/>
      </w:pPr>
      <w:r>
        <w:rPr>
          <w:rFonts w:ascii="Times New Roman" w:hAnsi="Times New Roman"/>
          <w:sz w:val="20"/>
        </w:rPr>
        <w:t>The three diagnostics agree that per-signature similarity does not form a clean two-mechanism mixture: (i) the Hartigan dip test fails to reject unimodality for Firm A and rejects it for the heterogeneous-firm pooled sample; (ii) BIC strongly prefers a 3-component over a 2-component Beta fit, so the 2-component crossing is a forced fit and the Beta-vs-logit-Gaussian disagreement (0.977 vs 0.999 for Firm A) reflects parametric-form sensitivity rather than a stable two-mechanism boundary; (iii) the BD/McCrary procedure locates its candidate transition inside the non-hand-signed mode rather than between modes, and the transition is not bin-width-stable.</w:t>
      </w:r>
    </w:p>
    <w:p>
      <w:pPr>
        <w:spacing w:after="120"/>
      </w:pPr>
      <w:r>
        <w:rPr>
          <w:rFonts w:ascii="Times New Roman" w:hAnsi="Times New Roman"/>
          <w:sz w:val="20"/>
        </w:rPr>
        <w:t>Table VI summarises the signature-level threshold-estimator outputs for cross-method comparison.</w:t>
      </w:r>
    </w:p>
    <w:p>
      <w:pPr>
        <w:spacing w:after="120"/>
      </w:pPr>
      <w:r>
        <w:rPr>
          <w:rFonts w:ascii="Times New Roman" w:hAnsi="Times New Roman"/>
          <w:sz w:val="20"/>
        </w:rPr>
        <w:t>Non-hand-signed replication quality is therefore best read as a continuous spectrum produced by firm-specific reproduction technologies (administrative stamping in early years, firm-level e-signing later) acting on a common stored exemplar. This finding has a direct methodological pay-off: it is why the operational cosine cut is anchored on the whole-sample Firm A P7.5 percentile (Section III-K), and it is why the byte-level pixel-identity anchor (Section IV-F.1) is the natural threshold-free positive reference for downstream validation.</w:t>
      </w:r>
    </w:p>
    <w:p>
      <w:pPr>
        <w:pStyle w:val="Heading2"/>
      </w:pPr>
      <w:r>
        <w:rPr>
          <w:color w:val="000000"/>
        </w:rPr>
        <w:t>E. Calibration Validation with Firm A</w:t>
      </w:r>
    </w:p>
    <w:p>
      <w:pPr>
        <w:spacing w:after="120"/>
      </w:pPr>
      <w:r>
        <w:rPr>
          <w:rFonts w:ascii="Times New Roman" w:hAnsi="Times New Roman"/>
          <w:sz w:val="20"/>
        </w:rPr>
        <w:t>Fig. 3 presents the per-signature cosine and dHash distributions of Firm A compared to the overall population. Table IX reports the proportion of Firm A signatures crossing each candidate threshold; these rates play the role of calibration-validation metrics (what fraction of a known replication-dominated population does each threshold capture?).</w:t>
      </w:r>
    </w:p>
    <w:p>
      <w:pPr>
        <w:jc w:val="center"/>
      </w:pPr>
      <w:r>
        <w:drawing>
          <wp:inline xmlns:a="http://schemas.openxmlformats.org/drawingml/2006/main" xmlns:pic="http://schemas.openxmlformats.org/drawingml/2006/picture">
            <wp:extent cx="3200400" cy="2241563"/>
            <wp:docPr id="2" name="Picture 2"/>
            <wp:cNvGraphicFramePr>
              <a:graphicFrameLocks noChangeAspect="1"/>
            </wp:cNvGraphicFramePr>
            <a:graphic>
              <a:graphicData uri="http://schemas.openxmlformats.org/drawingml/2006/picture">
                <pic:pic>
                  <pic:nvPicPr>
                    <pic:cNvPr id="0" name="fig3_firm_a_calibration.png"/>
                    <pic:cNvPicPr/>
                  </pic:nvPicPr>
                  <pic:blipFill>
                    <a:blip r:embed="rId10"/>
                    <a:stretch>
                      <a:fillRect/>
                    </a:stretch>
                  </pic:blipFill>
                  <pic:spPr>
                    <a:xfrm>
                      <a:off x="0" y="0"/>
                      <a:ext cx="3200400" cy="2241563"/>
                    </a:xfrm>
                    <a:prstGeom prst="rect"/>
                  </pic:spPr>
                </pic:pic>
              </a:graphicData>
            </a:graphic>
          </wp:inline>
        </w:drawing>
      </w:r>
    </w:p>
    <w:p>
      <w:pPr>
        <w:jc w:val="center"/>
      </w:pPr>
      <w:r>
        <w:rPr>
          <w:rFonts w:ascii="Times New Roman" w:hAnsi="Times New Roman"/>
          <w:i/>
          <w:sz w:val="18"/>
        </w:rPr>
        <w:t>Fig. 3. Firm A per-signature cosine and dHash distributions against the overall CPA population.</w:t>
      </w:r>
    </w:p>
    <w:p>
      <w:pPr>
        <w:spacing w:after="120"/>
      </w:pPr>
      <w:r>
        <w:rPr>
          <w:rFonts w:ascii="Times New Roman" w:hAnsi="Times New Roman"/>
          <w:sz w:val="20"/>
        </w:rPr>
        <w:t>Table IX is a whole-sample consistency check rather than an external validation: the thresholds 0.95, dHash median, and dHash 95th percentile are themselves anchored to the whole-sample Firm A distribution described in Section III-K (the 70/30 calibration-fold thresholds of Table XI are separate and slightly different, e.g., calibration-fold cosine P5 = 0.9407 rather than the whole-sample heuristic 0.95). The dual rule cosine $&gt; 0.95$ AND dHash $\leq 8$ captures 89.95% of Firm A, a value that is consistent with the dip-test-confirmed unimodal-long-tail shape of Firm A's per-signature cosine distribution (Section IV-D.1) and the 92.5% / 7.5% signature-level split (Section III-H). Section IV-F.2 reports the corresponding rates on the 30% Firm A hold-out fold, which provides the external check these whole-sample rates cannot.</w:t>
      </w:r>
    </w:p>
    <w:p>
      <w:pPr>
        <w:pStyle w:val="Heading2"/>
      </w:pPr>
      <w:r>
        <w:rPr>
          <w:color w:val="000000"/>
        </w:rPr>
        <w:t>F. Pixel-Identity, Inter-CPA, and Held-Out Firm A Validation</w:t>
      </w:r>
    </w:p>
    <w:p>
      <w:pPr>
        <w:spacing w:after="120"/>
      </w:pPr>
      <w:r>
        <w:rPr>
          <w:rFonts w:ascii="Times New Roman" w:hAnsi="Times New Roman"/>
          <w:sz w:val="20"/>
        </w:rPr>
        <w:t>We report three validation analyses corresponding to the anchors of Section III-J.</w:t>
      </w:r>
    </w:p>
    <w:p>
      <w:pPr>
        <w:pStyle w:val="Heading3"/>
      </w:pPr>
      <w:r>
        <w:rPr>
          <w:color w:val="000000"/>
        </w:rPr>
        <w:t>1) Pixel-Identity Positive Anchor with Inter-CPA Negative Anchor</w:t>
      </w:r>
    </w:p>
    <w:p>
      <w:pPr>
        <w:spacing w:after="120"/>
      </w:pPr>
      <w:r>
        <w:rPr>
          <w:rFonts w:ascii="Times New Roman" w:hAnsi="Times New Roman"/>
          <w:sz w:val="20"/>
        </w:rPr>
        <w:t>Of the 182,328 extracted signatures, 310 have a same-CPA nearest match that is byte-identical after crop and normalization (pixel-identical-to-closest = 1); these form the byte-identity positive anchor—a pair-level proof of image reuse that serves as conservative ground truth for non-hand-signed signatures, subject to the source-template edge case discussed in Section V-G. Within Firm A specifically, 145 of these byte-identical signatures are distributed across 50 distinct partners (of 180 registered Firm A partners), with 35 of the byte-identical pairs spanning different fiscal years; this Firm A decomposition is reproduced by signature_analysis/28_byte_identity_decomposition.py and reported in reports/byte_identity_decomp/byte_identity_decomposition.json (Appendix B). As the gold-negative anchor we sample 50,000 i.i.d. random cross-CPA signature pairs from the full 168,755-signature matched corpus (inter-CPA cosine: mean $= 0.763$, $P_{95} = 0.886$, $P_{99} = 0.915$, max $= 0.992$). Because the positive and negative anchor populations are constructed from different sampling units (byte-identical same-CPA pairs vs random inter-CPA pairs), their relative prevalence in the combined anchor set is arbitrary, and precision / $F_1$ / recall therefore have no meaningful population interpretation. We accordingly report FAR with Wilson 95% confidence intervals against the large inter-CPA negative anchor in Table X. The primary quantity reported by Table X is FAR: the probability that a random pair of signatures from different CPAs exceeds the candidate threshold. We do not report an Equal Error Rate: EER is meaningful only when the positive and negative error-rate curves cross in a nontrivial interior region, but byte-identical positives all sit at cosine $\approx 1$ by construction, so FRR against that subset is trivially $0$ at every threshold below $1$. An EER calculation against this anchor would be arithmetic tautology rather than biometric performance, and we therefore omit it.</w:t>
      </w:r>
    </w:p>
    <w:p>
      <w:pPr>
        <w:spacing w:after="120"/>
      </w:pPr>
      <w:r>
        <w:rPr>
          <w:rFonts w:ascii="Times New Roman" w:hAnsi="Times New Roman"/>
          <w:sz w:val="20"/>
        </w:rPr>
        <w:t>Two caveats apply. First, the byte-identical positive anchor referenced above is a conservative subset of the true non-hand-signed population: it captures only those non-hand-signed signatures whose nearest match happens to be byte-identical, not those that are near-identical but not bytewise identical. A would-be FRR computed against this subset is definitionally $0$ at every threshold below $1$ (since byte-identical pairs have cosine $\approx 1$), so such an FRR is a mathematical boundary check rather than an empirical miss-rate estimate; we discuss the generalization limits of this conservative-subset framing in Section V-F. Second, the 0.945 / 0.95 thresholds are derived from the Firm A whole-sample and calibration-fold percentiles rather than from this anchor set, so the FAR values in Table X are post-hoc-fit-free evaluations of thresholds that were not chosen to optimize Table X. The very low FAR at the operational cut is therefore informative about specificity against a realistic inter-CPA negative population.</w:t>
      </w:r>
    </w:p>
    <w:p>
      <w:pPr>
        <w:pStyle w:val="Heading3"/>
      </w:pPr>
      <w:r>
        <w:rPr>
          <w:color w:val="000000"/>
        </w:rPr>
        <w:t>2) Held-Out Firm A Validation (within-Firm-A sampling variance disclosure)</w:t>
      </w:r>
    </w:p>
    <w:p>
      <w:pPr>
        <w:spacing w:after="120"/>
      </w:pPr>
      <w:r>
        <w:rPr>
          <w:rFonts w:ascii="Times New Roman" w:hAnsi="Times New Roman"/>
          <w:sz w:val="20"/>
        </w:rPr>
        <w:t>We split Firm A CPAs randomly 70 / 30 at the CPA level into a calibration fold (124 CPAs, 45,116 signatures) and a held-out fold (54 CPAs, 15,332 signatures). The total of 178 Firm A CPAs differs from the 180 in the Firm A registry by two registered Firm A partners whose signatures in the corpus are singletons (only one signature each, so the per-signature best-match cosine is undefined and they do not appear in the same-CPA matched-signature table that script 24_validation_recalibration.py reads); they are therefore not represented in either fold by construction rather than by an explicit exclusion rule. Thresholds are re-derived from calibration-fold percentiles only. Table XI reports both calibration-fold and held-out-fold capture rates with Wilson 95% CIs and a two-proportion $z$-test.</w:t>
      </w:r>
    </w:p>
    <w:p>
      <w:pPr>
        <w:spacing w:after="120"/>
      </w:pPr>
      <w:r>
        <w:rPr>
          <w:rFonts w:ascii="Times New Roman" w:hAnsi="Times New Roman"/>
          <w:sz w:val="20"/>
        </w:rPr>
        <w:t>Table XI reports both calibration-fold and held-out-fold capture rates with Wilson 95% CIs and a two-proportion $z$-test. We report fold-versus-fold comparisons rather than fold-versus-whole-sample comparisons, because the whole-sample rate is a weighted average of the two folds and therefore cannot, in general, fall inside the Wilson CI of either fold when the folds differ in rate; the correct generalization reference is the calibration fold, which produced the thresholds.</w:t>
      </w:r>
    </w:p>
    <w:p>
      <w:pPr>
        <w:spacing w:after="120"/>
      </w:pPr>
      <w:r>
        <w:rPr>
          <w:rFonts w:ascii="Times New Roman" w:hAnsi="Times New Roman"/>
          <w:sz w:val="20"/>
        </w:rPr>
        <w:t>Under this proper test the two extreme rules agree across folds (cosine $&gt; 0.837$ and $\text{dHash}_\text{indep} \leq 15$; both $p &gt; 0.7$). The operationally relevant rules in the 85–95% capture band differ between folds by 1–5 percentage points ($p &lt; 0.001$ given the $n \approx 45\text{k}/15\text{k}$ fold sizes). Both folds nevertheless sit in the same replication-dominated regime: every calibration-fold rate in the 85–99% range has a held-out counterpart in the 87–99% range, and the operational dual rule cosine $&gt; 0.95$ AND $\text{dHash}_\text{indep} \leq 8$ captures 89.40% of the calibration fold and 91.54% of the held-out fold. The modest fold gap is consistent with within-Firm-A heterogeneity in replication intensity: the random 30% CPA sample evidently contained proportionally more high-replication CPAs. We therefore interpret the held-out fold as confirming the qualitative finding (Firm A is strongly replication-dominated across both folds) while cautioning that exact rates carry fold-level sampling noise that a single 30% split cannot eliminate; the threshold-independent partner-ranking analysis (Section IV-G.2) is the cross-check that is robust to this fold variance.</w:t>
      </w:r>
    </w:p>
    <w:p>
      <w:pPr>
        <w:pStyle w:val="Heading3"/>
      </w:pPr>
      <w:r>
        <w:rPr>
          <w:color w:val="000000"/>
        </w:rPr>
        <w:t>3) Operational-Threshold Sensitivity: cos $&gt; 0.95$ vs cos $&gt; 0.945$</w:t>
      </w:r>
    </w:p>
    <w:p>
      <w:pPr>
        <w:spacing w:after="120"/>
      </w:pPr>
      <w:r>
        <w:rPr>
          <w:rFonts w:ascii="Times New Roman" w:hAnsi="Times New Roman"/>
          <w:sz w:val="20"/>
        </w:rPr>
        <w:t>The per-signature classifier (Section III-K) uses cos $&gt; 0.95$ as its operational cosine cut, anchored on the whole-sample Firm A P7.5 heuristic (i.e., 7.5% of whole-sample Firm A signatures lie at or below 0.95; see Section III-H). We report a sensitivity check in which this round-number cut is replaced by the slightly stricter calibration-fold P5 rounded value cos $&gt; 0.945$ (calibration-fold P5 = 0.9407, see Table XI). Table XII reports the five-way classifier output under each cut.</w:t>
      </w:r>
    </w:p>
    <w:p>
      <w:pPr>
        <w:spacing w:after="120"/>
      </w:pPr>
      <w:r>
        <w:rPr>
          <w:rFonts w:ascii="Times New Roman" w:hAnsi="Times New Roman"/>
          <w:sz w:val="20"/>
        </w:rPr>
        <w:t>At the aggregate firm-level, the operational dual rule cos $&gt; 0.95$ AND $\text{dHash}_\text{indep} \leq 8$ captures 89.95% of whole Firm A under the 0.95 cut and 91.14% under the 0.945 cut—a shift of 1.19 percentage points. At the per-signature categorization level, replacing 0.95 by 0.945 reclassifies 8,508 signatures (5.04% of the corpus) out of the Uncertain band; 6,095 of them migrate to Moderate-confidence non-hand-signed, 2,294 to High-confidence non-hand-signed, and 119 to High style consistency. The Likely-hand-signed category is unaffected because it depends only on the fixed all-pairs KDE crossover cosine $= 0.837$. The High-confidence non-hand-signed share grows from 45.62% to 46.98%.</w:t>
      </w:r>
    </w:p>
    <w:p>
      <w:pPr>
        <w:spacing w:after="120"/>
      </w:pPr>
      <w:r>
        <w:rPr>
          <w:rFonts w:ascii="Times New Roman" w:hAnsi="Times New Roman"/>
          <w:sz w:val="20"/>
        </w:rPr>
        <w:t>We interpret this sensitivity pattern as indicating that the classifier's aggregate and high-confidence output is robust to the choice of operational cut within a 0.005-cosine neighbourhood of the Firm A P7.5 anchor, and that the movement is concentrated at the Uncertain/Moderate-confidence boundary. The paper therefore retains cos $&gt; 0.95$ as the primary operational cut for transparency (round-number P7.5 of the whole-sample Firm A reference distribution) and reports the 0.945 results as a sensitivity check rather than as a deployed alternative.</w:t>
      </w:r>
    </w:p>
    <w:p>
      <w:pPr>
        <w:pStyle w:val="Heading2"/>
      </w:pPr>
      <w:r>
        <w:rPr>
          <w:color w:val="000000"/>
        </w:rPr>
        <w:t>G. Additional Firm A Benchmark Validation</w:t>
      </w:r>
    </w:p>
    <w:p>
      <w:pPr>
        <w:spacing w:after="120"/>
      </w:pPr>
      <w:r>
        <w:rPr>
          <w:rFonts w:ascii="Times New Roman" w:hAnsi="Times New Roman"/>
          <w:sz w:val="20"/>
        </w:rPr>
        <w:t>The capture rates of Section IV-E are an internal consistency check: they ask "how much of Firm A does our threshold capture?", but the threshold was itself derived from Firm A's percentiles, so a high capture rate is not surprising. To go beyond this circular check, we report three further analyses, each chosen so that the informative quantity does not depend on the threshold's absolute value:</w:t>
      </w:r>
    </w:p>
    <w:p>
      <w:pPr>
        <w:pStyle w:val="ListBullet"/>
      </w:pPr>
      <w:r>
        <w:rPr>
          <w:rFonts w:ascii="Times New Roman" w:hAnsi="Times New Roman"/>
          <w:sz w:val="20"/>
        </w:rPr>
        <w:t>§IV-G.1 (year-by-year stability). Holds the cosine cutoff fixed at 0.95 and asks whether the share of Firm A below the cutoff is *stable across years*. The information is in the temporal trend, not in the absolute rate; under a noise-only explanation of the left tail, the share should shrink as scan/PDF technology matured.</w:t>
      </w:r>
    </w:p>
    <w:p>
      <w:pPr>
        <w:pStyle w:val="ListBullet"/>
      </w:pPr>
      <w:r>
        <w:rPr>
          <w:rFonts w:ascii="Times New Roman" w:hAnsi="Times New Roman"/>
          <w:sz w:val="20"/>
        </w:rPr>
        <w:t>§IV-G.2 (partner-level similarity ranking). Uses *no threshold at all*: every auditor-year is ranked by mean similarity, and we measure Firm A's share of the top decile against its baseline share. The information is in the concentration ratio, which is invariant to the choice of cutoff.</w:t>
      </w:r>
    </w:p>
    <w:p>
      <w:pPr>
        <w:pStyle w:val="ListBullet"/>
      </w:pPr>
      <w:r>
        <w:rPr>
          <w:rFonts w:ascii="Times New Roman" w:hAnsi="Times New Roman"/>
          <w:sz w:val="20"/>
        </w:rPr>
        <w:t>§IV-G.3 (intra-report agreement). Applies the calibrated classifier and measures whether the *two co-signing CPAs on the same Firm A report* receive the same classifier label, then compares Firm A's intra-report agreement rate to the other firms'. The information is in the *cross-firm gap*; the absolute agreement rate at any one firm depends on the cutoff, but the gap is robust to moderate cutoff shifts as long as the same cutoff is applied uniformly across firms.</w:t>
      </w:r>
    </w:p>
    <w:p>
      <w:pPr>
        <w:spacing w:after="120"/>
      </w:pPr>
      <w:r>
        <w:rPr>
          <w:rFonts w:ascii="Times New Roman" w:hAnsi="Times New Roman"/>
          <w:sz w:val="20"/>
        </w:rPr>
        <w:t>Together these three analyses provide threshold-free or threshold-robust evidence that complements the within-sample capture rates of Section IV-E.</w:t>
      </w:r>
    </w:p>
    <w:p>
      <w:pPr>
        <w:pStyle w:val="Heading3"/>
      </w:pPr>
      <w:r>
        <w:rPr>
          <w:color w:val="000000"/>
        </w:rPr>
        <w:t>1) Year-by-Year Stability of the Firm A Left Tail</w:t>
      </w:r>
    </w:p>
    <w:p>
      <w:pPr>
        <w:spacing w:after="120"/>
      </w:pPr>
      <w:r>
        <w:rPr>
          <w:rFonts w:ascii="Times New Roman" w:hAnsi="Times New Roman"/>
          <w:sz w:val="20"/>
        </w:rPr>
        <w:t>Table XIII reports the proportion of Firm A signatures with per-signature best-match cosine below 0.95, disaggregated by fiscal year. Under the replication-dominated interpretation (Section III-H), this signature-level left-tail rate reflects within-firm heterogeneity in signing outputs at Firm A. Consistent with the scope-of-claims framing in Section III-G, we report the rate as a signature-level quantity without disaggregating the underlying mechanism (which may span a minority of hand-signing partners, multi-template replication workflows within the firm, or a combination); partner-level mechanism attribution is not attempted. Under the alternative hypothesis that the left tail is an artifact of scan or compression noise, the share should shrink as scanning and PDF-compression technology improved over 2013-2023.</w:t>
      </w:r>
    </w:p>
    <w:p>
      <w:pPr>
        <w:spacing w:after="120"/>
      </w:pPr>
      <w:r>
        <w:rPr>
          <w:rFonts w:ascii="Times New Roman" w:hAnsi="Times New Roman"/>
          <w:sz w:val="20"/>
        </w:rPr>
        <w:t>The left tail is stable at 6-13% throughout the sample period and shows no pre/post-2020 level shift: the 2013-2019 mean left-tail share is 8.26% and the 2020-2023 mean is 6.96%. The lowest observed share is in 2023 (3.75%), consistent with firm-level electronic signing systems producing more uniform output than earlier manual scanning-and-stamping, not less. This stability supports the replication-dominated framing: a persistent within-firm heterogeneity component is consistent with a Beta left tail that is stable across production technologies, whereas a noise-only explanation would predict a shrinking share as technology improved.</w:t>
      </w:r>
    </w:p>
    <w:p>
      <w:pPr>
        <w:pStyle w:val="Heading3"/>
      </w:pPr>
      <w:r>
        <w:rPr>
          <w:color w:val="000000"/>
        </w:rPr>
        <w:t>2) Partner-Level Similarity Ranking</w:t>
      </w:r>
    </w:p>
    <w:p>
      <w:pPr>
        <w:spacing w:after="120"/>
      </w:pPr>
      <w:r>
        <w:rPr>
          <w:rFonts w:ascii="Times New Roman" w:hAnsi="Times New Roman"/>
          <w:sz w:val="20"/>
        </w:rPr>
        <w:t>If Firm A applies firm-wide stamping while the other Big-4 firms use stamping only for a subset of partners, Firm A auditor-years should disproportionately occupy the top of the similarity distribution among all auditor-years (across all firms). We test this prediction directly.</w:t>
      </w:r>
    </w:p>
    <w:p>
      <w:pPr>
        <w:spacing w:after="120"/>
      </w:pPr>
      <w:r>
        <w:rPr>
          <w:rFonts w:ascii="Times New Roman" w:hAnsi="Times New Roman"/>
          <w:sz w:val="20"/>
        </w:rPr>
        <w:t>For each auditor-year (CPA $\times$ fiscal year) with at least 5 signatures we compute the mean best-match cosine similarity across the year's signatures, yielding 4,629 auditor-years across 2013-2023. Firm A accounts for 1,287 of these (27.8% baseline share). Table XIV reports per-firm occupancy of the top $K\%$ of the ranked distribution. The per-signature best-match cosine underlying each auditor-year mean is taken over the full same-CPA pool (Section III-G) and may match against signatures from other fiscal years, so the auditor-year mean reflects the year's signatures' position within the CPA's full-sample similarity structure rather than purely within-year similarity; a within-year-restricted sensitivity replication is a natural robustness check and is left to future work.</w:t>
      </w:r>
    </w:p>
    <w:p>
      <w:pPr>
        <w:spacing w:after="120"/>
      </w:pPr>
      <w:r>
        <w:rPr>
          <w:rFonts w:ascii="Times New Roman" w:hAnsi="Times New Roman"/>
          <w:sz w:val="20"/>
        </w:rPr>
        <w:t>Firm A occupies 95.9% of the top 10% and 90.1% of the top 25% of auditor-years by similarity, against its baseline share of 27.8%—a concentration ratio of 3.5$\times$ at the top decile and 3.2$\times$ at the top quartile. Year-by-year (Table XV), the top-10% Firm A share ranges from 88.4% (2020) to 100% (2013, 2014, 2017, 2018, 2019), showing that the concentration is stable across the sample period.</w:t>
      </w:r>
    </w:p>
    <w:p>
      <w:pPr>
        <w:spacing w:after="120"/>
      </w:pPr>
      <w:r>
        <w:rPr>
          <w:rFonts w:ascii="Times New Roman" w:hAnsi="Times New Roman"/>
          <w:sz w:val="20"/>
        </w:rPr>
        <w:t>This over-representation is consistent with firm-wide non-hand-signing practice at Firm A and is not derived from any threshold we subsequently calibrate. It therefore constitutes genuine cross-firm evidence for Firm A's benchmark status.</w:t>
      </w:r>
    </w:p>
    <w:p>
      <w:pPr>
        <w:pStyle w:val="Heading3"/>
      </w:pPr>
      <w:r>
        <w:rPr>
          <w:color w:val="000000"/>
        </w:rPr>
        <w:t>3) Intra-Report Consistency</w:t>
      </w:r>
    </w:p>
    <w:p>
      <w:pPr>
        <w:spacing w:after="120"/>
      </w:pPr>
      <w:r>
        <w:rPr>
          <w:rFonts w:ascii="Times New Roman" w:hAnsi="Times New Roman"/>
          <w:sz w:val="20"/>
        </w:rPr>
        <w:t>Taiwanese statutory audit reports are co-signed by two engagement partners (a primary and a secondary signer). Under firm-wide stamping practice at a given firm, both signers on the same report should receive the same signature-level classification. Disagreement between the two signers on a report is informative about whether the stamping practice is firm-wide or partner-specific.</w:t>
      </w:r>
    </w:p>
    <w:p>
      <w:pPr>
        <w:spacing w:after="120"/>
      </w:pPr>
      <w:r>
        <w:rPr>
          <w:rFonts w:ascii="Times New Roman" w:hAnsi="Times New Roman"/>
          <w:sz w:val="20"/>
        </w:rPr>
        <w:t>For each report with exactly two signatures and complete per-signature data (84,354 reports total: 83,970 single-firm reports, in which both signers are at the same firm, and 384 mixed-firm reports, in which the two signers are at different firms), we classify each signature using the dual-descriptor rules of Section III-K and record whether the two classifications agree. Table XVI reports per-firm intra-report agreement for the 83,970 single-firm reports only (firm-assignment defined by the common firm identity of both signers); the 384 mixed-firm reports (0.46% of the 2-signature corpus) are excluded from the intra-report analysis because firm-level agreement is not well defined when the two signers are at different firms.</w:t>
      </w:r>
    </w:p>
    <w:p>
      <w:pPr>
        <w:spacing w:after="120"/>
      </w:pPr>
      <w:r>
        <w:rPr>
          <w:rFonts w:ascii="Times New Roman" w:hAnsi="Times New Roman"/>
          <w:sz w:val="20"/>
        </w:rPr>
        <w:t>Firm A achieves 89.9% intra-report agreement, with 87.5% of Firm A reports having both signers classified as non-hand-signed and only 4 reports (0.01%) having both classified as likely hand-signed. The other Big-4 firms (B, C, D) and non-Big-4 firms cluster at 62-67% agreement, a 23-28 percentage-point gap. This 23-28 percentage-point gap in intra-report agreement between Firm A and the other firms is consistent with firm-wide (rather than partner-specific) non-hand-signing practice; we do not claim a sharp discontinuity in the formal sense, since classifier calibration, firm-specific document-production pipelines, and signer-mix differences could each contribute to gap magnitude.</w:t>
      </w:r>
    </w:p>
    <w:p>
      <w:pPr>
        <w:spacing w:after="120"/>
      </w:pPr>
      <w:r>
        <w:rPr>
          <w:rFonts w:ascii="Times New Roman" w:hAnsi="Times New Roman"/>
          <w:sz w:val="20"/>
        </w:rPr>
        <w:t>We note that this test uses the calibrated classifier of Section III-K rather than a threshold-free statistic; the substantive evidence lies in the cross-firm gap between Firm A and the other firms rather than in the absolute agreement rate at any single firm, and that gap is robust to moderate shifts in the absolute cutoff so long as the cutoff is applied uniformly across firms.</w:t>
      </w:r>
    </w:p>
    <w:p>
      <w:pPr>
        <w:pStyle w:val="Heading2"/>
      </w:pPr>
      <w:r>
        <w:rPr>
          <w:color w:val="000000"/>
        </w:rPr>
        <w:t>H. Classification Results</w:t>
      </w:r>
    </w:p>
    <w:p>
      <w:pPr>
        <w:spacing w:after="120"/>
      </w:pPr>
      <w:r>
        <w:rPr>
          <w:rFonts w:ascii="Times New Roman" w:hAnsi="Times New Roman"/>
          <w:sz w:val="20"/>
        </w:rPr>
        <w:t>Table XVII presents the final classification results under the dual-descriptor framework with Firm A-calibrated thresholds for 84,386 documents. The document count (84,386) differs from the 85,042 documents with any YOLO detection (Table III) because 656 documents have no signature whose extracted handwriting could be matched to a registered CPA name (every such signature has assigned_accountant IS NULL in the database, typically because the auditor's report page deviates from the standard two-signature layout or the OCRed printed CPA name was not present in the registry); the per-document classifier requires at least one CPA-matched signature so that a same-CPA best-match similarity exists, and these documents are therefore excluded from the classification reported here. We emphasize that the document-level proportions below reflect the worst-case aggregation rule of Section III-K: a report carrying one stamped signature and one hand-signed signature is labeled with the most-replication-consistent of the two signature-level verdicts. Document-level rates therefore represent the share of reports in which at least one signature is non-hand-signed rather than the share in which both are; the intra-report agreement analysis of Section IV-G.3 (Table XVI) reports how frequently the two co-signers share the same signature-level label within each firm, so that readers can judge what fraction of the non-hand-signed document-level share corresponds to fully non-hand-signed reports versus mixed reports.</w:t>
      </w:r>
    </w:p>
    <w:p>
      <w:pPr>
        <w:spacing w:after="120"/>
      </w:pPr>
      <w:r>
        <w:rPr>
          <w:rFonts w:ascii="Times New Roman" w:hAnsi="Times New Roman"/>
          <w:sz w:val="20"/>
        </w:rPr>
        <w:t>Within the 71,656 documents exceeding cosine $0.95$, the dHash dimension stratifies them into three distinct populations: 29,529 (41.2%) show converging structural evidence of non-hand-signing (dHash $\leq 5$); 36,994 (51.7%) show partial structural similarity (dHash in $[6, 15]$) consistent with replication degraded by scan variations; and 5,133 (7.2%) show no structural corroboration (dHash $&gt; 15$), suggesting high signing consistency rather than image reproduction. A cosine-only classifier would treat all 71,656 identically; the dual-descriptor framework separates them into populations with fundamentally different interpretations.</w:t>
      </w:r>
    </w:p>
    <w:p>
      <w:pPr>
        <w:pStyle w:val="Heading3"/>
      </w:pPr>
      <w:r>
        <w:rPr>
          <w:color w:val="000000"/>
        </w:rPr>
        <w:t>1) Firm A Capture Profile (Consistency Check)</w:t>
      </w:r>
    </w:p>
    <w:p>
      <w:pPr>
        <w:spacing w:after="120"/>
      </w:pPr>
      <w:r>
        <w:rPr>
          <w:rFonts w:ascii="Times New Roman" w:hAnsi="Times New Roman"/>
          <w:sz w:val="20"/>
        </w:rPr>
        <w:t>96.9% of Firm A's documents fall into the high- or moderate-confidence non-hand-signed categories, 0.6% into high-style-consistency, and 2.5% into uncertain. This pattern is consistent with the replication-dominated framing: the large majority is captured by non-hand-signed rules, while the small residual is consistent with the within-firm heterogeneity implied by the dip-test-confirmed unimodal-long-tail shape of Firm A's per-signature cosine distribution (Section IV-D.1) and the 7.5% signature-level left tail (Section III-H). The near-zero "likely hand-signed" rate (4 of 30,226 Firm A documents, 0.013%; the 30,226 count here is documents with at least one Firm A signer under the 84,386-document classification cohort, which differs from the 30,222 single-firm two-signer subset in Table XVI by 4 reports) indicates that the within-firm heterogeneity implied by the 7.5% signature-level left tail (Section IV-D) does not project into the lowest-cosine document-level category under the dual-descriptor rules; it is absorbed instead into the uncertain or high-style-consistency categories at this threshold set. We note that because the non-hand-signed thresholds are themselves calibrated to Firm A's empirical percentiles (Section III-H), these rates are an internal consistency check rather than an external validation; the held-out Firm A validation of Section IV-F.2 is the corresponding external check.</w:t>
      </w:r>
    </w:p>
    <w:p>
      <w:pPr>
        <w:pStyle w:val="Heading3"/>
      </w:pPr>
      <w:r>
        <w:rPr>
          <w:color w:val="000000"/>
        </w:rPr>
        <w:t>2) Cross-Firm Comparison of Dual-Descriptor Convergence</w:t>
      </w:r>
    </w:p>
    <w:p>
      <w:pPr>
        <w:spacing w:after="120"/>
      </w:pPr>
      <w:r>
        <w:rPr>
          <w:rFonts w:ascii="Times New Roman" w:hAnsi="Times New Roman"/>
          <w:sz w:val="20"/>
        </w:rPr>
        <w:t>Among the 65,514 non-Firm-A signatures with per-signature best-match cosine $&gt; 0.95$, 42.12% have $\text{dHash}_\text{indep} \leq 5$, compared to 88.32% of the 55,922 Firm A signatures meeting the same cosine condition—a $\sim 2.1\times$ difference that the structural-verification layer makes visible. The Firm A denominator (55,922) matches Table IX exactly: both Table IX and the cross-firm decomposition define Firm A membership via the CPA registry (accountants.firm), and the cross-firm analysis additionally requires a non-null independent-min dHash record, which all 55,922 Firm A cosine-eligible signatures have in the current database. This cross-firm gap is consistent with firm-wide non-hand-signing practice at Firm A versus partner-specific or per-engagement replication at other firms; it complements the partner-level ranking (Section IV-G.2) and intra-report consistency (Section IV-G.3) findings. Counts and percentages are reproduced by signature_analysis/28_byte_identity_decomposition.py and reported in reports/byte_identity_decomp/byte_identity_decomposition.json (see Appendix B for the table-to-script provenance map).</w:t>
      </w:r>
    </w:p>
    <w:p>
      <w:pPr>
        <w:pStyle w:val="Heading2"/>
      </w:pPr>
      <w:r>
        <w:rPr>
          <w:color w:val="000000"/>
        </w:rPr>
        <w:t>I. Ablation Study: Feature Backbone Comparison</w:t>
      </w:r>
    </w:p>
    <w:p>
      <w:pPr>
        <w:spacing w:after="120"/>
      </w:pPr>
      <w:r>
        <w:rPr>
          <w:rFonts w:ascii="Times New Roman" w:hAnsi="Times New Roman"/>
          <w:sz w:val="20"/>
        </w:rPr>
        <w:t>To validate the choice of ResNet-50 as the feature extraction backbone, we conducted an ablation study comparing three pre-trained architectures: ResNet-50 (2048-dim), VGG-16 (4096-dim), and EfficientNet-B0 (1280-dim). All models used ImageNet pre-trained weights without fine-tuning, with identical preprocessing and L2 normalization. Table XVIII presents the comparison.</w:t>
      </w:r>
    </w:p>
    <w:p>
      <w:pPr>
        <w:jc w:val="center"/>
      </w:pPr>
      <w:r>
        <w:drawing>
          <wp:inline xmlns:a="http://schemas.openxmlformats.org/drawingml/2006/main" xmlns:pic="http://schemas.openxmlformats.org/drawingml/2006/picture">
            <wp:extent cx="5943600" cy="1724921"/>
            <wp:docPr id="3" name="Picture 3"/>
            <wp:cNvGraphicFramePr>
              <a:graphicFrameLocks noChangeAspect="1"/>
            </wp:cNvGraphicFramePr>
            <a:graphic>
              <a:graphicData uri="http://schemas.openxmlformats.org/drawingml/2006/picture">
                <pic:pic>
                  <pic:nvPicPr>
                    <pic:cNvPr id="0" name="fig4_ablation.png"/>
                    <pic:cNvPicPr/>
                  </pic:nvPicPr>
                  <pic:blipFill>
                    <a:blip r:embed="rId11"/>
                    <a:stretch>
                      <a:fillRect/>
                    </a:stretch>
                  </pic:blipFill>
                  <pic:spPr>
                    <a:xfrm>
                      <a:off x="0" y="0"/>
                      <a:ext cx="5943600" cy="1724921"/>
                    </a:xfrm>
                    <a:prstGeom prst="rect"/>
                  </pic:spPr>
                </pic:pic>
              </a:graphicData>
            </a:graphic>
          </wp:inline>
        </w:drawing>
      </w:r>
    </w:p>
    <w:p>
      <w:pPr>
        <w:jc w:val="center"/>
      </w:pPr>
      <w:r>
        <w:rPr>
          <w:rFonts w:ascii="Times New Roman" w:hAnsi="Times New Roman"/>
          <w:i/>
          <w:sz w:val="18"/>
        </w:rPr>
        <w:t>Fig. 5. Ablation study comparing three feature extraction backbones.</w:t>
      </w:r>
    </w:p>
    <w:p>
      <w:pPr>
        <w:spacing w:after="120"/>
      </w:pPr>
      <w:r>
        <w:rPr>
          <w:rFonts w:ascii="Times New Roman" w:hAnsi="Times New Roman"/>
          <w:sz w:val="20"/>
        </w:rPr>
        <w:t>EfficientNet-B0 achieves the highest Cohen's $d$ (0.707), indicating the greatest statistical separation between intra-class and inter-class distributions. However, it also exhibits the widest distributional spread (intra std $= 0.123$ vs. ResNet-50's $0.098$), resulting in lower per-sample classification confidence. VGG-16 performs worst on all key metrics despite having the highest feature dimensionality (4096), suggesting that additional dimensions do not contribute discriminative information for this task.</w:t>
      </w:r>
    </w:p>
    <w:p>
      <w:pPr>
        <w:spacing w:after="120"/>
      </w:pPr>
      <w:r>
        <w:rPr>
          <w:rFonts w:ascii="Times New Roman" w:hAnsi="Times New Roman"/>
          <w:sz w:val="20"/>
        </w:rPr>
        <w:t>ResNet-50 provides the best overall balance: (1) Cohen's $d$ of 0.669 is competitive with EfficientNet-B0's 0.707; (2) its tighter distributions yield more reliable individual classifications; (3) the highest Firm A all-pairs 1st percentile (0.543) indicates that known-replication signatures are least likely to produce low-similarity outlier pairs under this backbone; and (4) its 2048-dimensional features offer a practical compromise between discriminative capacity and computational/storage efficiency for processing 182K+ signatures.</w:t>
      </w:r>
    </w:p>
    <w:p>
      <w:pPr>
        <w:pStyle w:val="Heading1"/>
      </w:pPr>
      <w:r>
        <w:rPr>
          <w:color w:val="000000"/>
        </w:rPr>
        <w:t>V. Discussion</w:t>
      </w:r>
    </w:p>
    <w:p>
      <w:pPr>
        <w:pStyle w:val="Heading2"/>
      </w:pPr>
      <w:r>
        <w:rPr>
          <w:color w:val="000000"/>
        </w:rPr>
        <w:t>A. Non-Hand-Signing Detection as a Distinct Problem</w:t>
      </w:r>
    </w:p>
    <w:p>
      <w:pPr>
        <w:spacing w:after="120"/>
      </w:pPr>
      <w:r>
        <w:rPr>
          <w:rFonts w:ascii="Times New Roman" w:hAnsi="Times New Roman"/>
          <w:sz w:val="20"/>
        </w:rPr>
        <w:t>Our results highlight the importance of distinguishing non-hand-signing detection from the well-studied signature forgery detection problem. In forgery detection, the challenge lies in modeling the variability of skilled forgers who produce plausible imitations of a target signature. In non-hand-signing detection the signer's identity is not in question; the challenge is distinguishing between legitimate intra-signer consistency (a CPA who signs similarly each time) and image-level reproduction of a stored signature (a CPA whose signature on each report is a byte-level or near-byte-level copy of a single source image).</w:t>
      </w:r>
    </w:p>
    <w:p>
      <w:pPr>
        <w:spacing w:after="120"/>
      </w:pPr>
      <w:r>
        <w:rPr>
          <w:rFonts w:ascii="Times New Roman" w:hAnsi="Times New Roman"/>
          <w:sz w:val="20"/>
        </w:rPr>
        <w:t>This distinction has direct methodological consequences. Forgery detection systems optimize for inter-class discriminability—maximizing the gap between genuine and forged signatures. Non-hand-signing detection, by contrast, requires sensitivity to the upper tail of the intra-class similarity distribution, where the boundary between consistent handwriting and image reproduction becomes ambiguous. The dual-descriptor framework we propose—combining semantic-level features (cosine similarity) with structural-level features (dHash)—addresses this ambiguity in a way that single-descriptor approaches cannot.</w:t>
      </w:r>
    </w:p>
    <w:p>
      <w:pPr>
        <w:pStyle w:val="Heading2"/>
      </w:pPr>
      <w:r>
        <w:rPr>
          <w:color w:val="000000"/>
        </w:rPr>
        <w:t>B. Per-Signature Similarity is a Continuous Quality Spectrum</w:t>
      </w:r>
    </w:p>
    <w:p>
      <w:pPr>
        <w:spacing w:after="120"/>
      </w:pPr>
      <w:r>
        <w:rPr>
          <w:rFonts w:ascii="Times New Roman" w:hAnsi="Times New Roman"/>
          <w:sz w:val="20"/>
        </w:rPr>
        <w:t>A central empirical finding of this study is that per-signature similarity does not form a clean two-mechanism mixture (Section IV-D). Firm A's signature-level cosine is formally unimodal (Hartigan dip test $p = 0.17$) with a long left tail. The all-CPA signature-level cosine rejects unimodality ($p &lt; 0.001$), reflecting the heterogeneity of signing practices across firms, but its structure is not well approximated by a two-component Beta mixture: BIC clearly prefers a three-component fit ($\Delta\text{BIC} = 381$ for Firm A; $10{,}175$ for the full sample), and the forced 2-component Beta crossing and its logit-GMM robustness counterpart disagree sharply on the candidate threshold (0.977 vs. 0.999 for Firm A). The BD/McCrary discontinuity test locates its transition at cosine 0.985—inside the non-hand-signed mode rather than at a boundary between two mechanisms—and the transition is not bin-width-stable (Appendix A).</w:t>
      </w:r>
    </w:p>
    <w:p>
      <w:pPr>
        <w:spacing w:after="120"/>
      </w:pPr>
      <w:r>
        <w:rPr>
          <w:rFonts w:ascii="Times New Roman" w:hAnsi="Times New Roman"/>
          <w:sz w:val="20"/>
        </w:rPr>
        <w:t>Taken together, these results indicate that non-hand-signed signatures form a continuous quality spectrum rather than a discrete class cleanly separated from hand-signing. Replication quality varies continuously with scan equipment, PDF compression, stamp pressure, and firm-level e-signing system generation, producing a heavy-tailed distribution that no two-mechanism mixture explains at the signature level.</w:t>
      </w:r>
    </w:p>
    <w:p>
      <w:pPr>
        <w:spacing w:after="120"/>
      </w:pPr>
      <w:r>
        <w:rPr>
          <w:rFonts w:ascii="Times New Roman" w:hAnsi="Times New Roman"/>
          <w:sz w:val="20"/>
        </w:rPr>
        <w:t>The methodological implication is that the operational classifier's cosine cut should not be derived from a mixture-fit crossing. We accordingly anchor the operational cosine cut on the whole-sample Firm A P7.5 percentile (Section III-K), and treat the signature-level threshold-estimator outputs (KDE antimode, Beta and logit-Gaussian crossings) as descriptive characterisation of the similarity distribution rather than as the source of operational thresholds. The BD/McCrary procedure plays a density-smoothness diagnostic role in this framing rather than that of an independent threshold estimator.</w:t>
      </w:r>
    </w:p>
    <w:p>
      <w:pPr>
        <w:spacing w:after="120"/>
      </w:pPr>
      <w:r>
        <w:rPr>
          <w:rFonts w:ascii="Times New Roman" w:hAnsi="Times New Roman"/>
          <w:sz w:val="20"/>
        </w:rPr>
        <w:t>This continuous-spectrum finding also has substantive implications for downstream interpretation. Because pixel-level output quality varies continuously, signature-level rates (such as the 92.5% / 7.5% Firm A split) reflect the share of signatures whose similarity falls above or below a chosen threshold rather than the share that came from a "non-hand-signing mechanism" versus a "hand-signing mechanism." We accordingly report all rates as signature-level quantities and abstain from partner-level frequency claims (Section III-G).</w:t>
      </w:r>
    </w:p>
    <w:p>
      <w:pPr>
        <w:pStyle w:val="Heading2"/>
      </w:pPr>
      <w:r>
        <w:rPr>
          <w:color w:val="000000"/>
        </w:rPr>
        <w:t>C. Firm A as a Replication-Dominated, Not Pure, Population</w:t>
      </w:r>
    </w:p>
    <w:p>
      <w:pPr>
        <w:spacing w:after="120"/>
      </w:pPr>
      <w:r>
        <w:rPr>
          <w:rFonts w:ascii="Times New Roman" w:hAnsi="Times New Roman"/>
          <w:sz w:val="20"/>
        </w:rPr>
        <w:t>A recurring theme in prior work that treats Firm A or an analogous reference group as a calibration anchor is the implicit assumption that the anchor is a pure positive class. Our evidence across multiple analyses rules out that assumption for Firm A while affirming its utility as a calibration reference.</w:t>
      </w:r>
    </w:p>
    <w:p>
      <w:pPr>
        <w:spacing w:after="120"/>
      </w:pPr>
      <w:r>
        <w:rPr>
          <w:rFonts w:ascii="Times New Roman" w:hAnsi="Times New Roman"/>
          <w:sz w:val="20"/>
        </w:rPr>
        <w:t>Two convergent strands of evidence support the replication-dominated framing. First, the byte-level pair evidence: 145 Firm A signatures (from 50 distinct partners of 180 registered) have a byte-identical same-CPA match in a different audit report, with 35 of these matches spanning different fiscal years. Independent hand-signing cannot produce byte-identical images across distinct reports, so these pairs directly establish image reuse within Firm A as a concrete, threshold-free phenomenon, and the 50/180 partner spread shows that replication is widespread rather than confined to a handful of CPAs. Second, the signature-level distributional evidence: Firm A's per-signature cosine distribution is unimodal long-tail (Hartigan dip test $p = 0.17$) rather than a tight single peak; 92.5% of Firm A signatures exceed cosine 0.95, with the remaining 7.5% forming the left tail. The unimodal-long-tail shape, not the precise 92.5 / 7.5 split, is the structural evidence: it is consistent with a dominant high-similarity regime plus residual within-firm heterogeneity, and a noise-only explanation of the left tail would predict a shrinking share as scan/PDF technology matured over 2013--2023, which is not what we observe (Section IV-G.1).</w:t>
      </w:r>
    </w:p>
    <w:p>
      <w:pPr>
        <w:spacing w:after="120"/>
      </w:pPr>
      <w:r>
        <w:rPr>
          <w:rFonts w:ascii="Times New Roman" w:hAnsi="Times New Roman"/>
          <w:sz w:val="20"/>
        </w:rPr>
        <w:t>Two additional checks, reported in Section IV-G, are robust to threshold choice and complement the two primary strands: the held-out Firm A 70/30 validation (Section IV-F.2) gives capture rates on a non-calibration Firm A subset that sit in the same replication-dominated regime as the calibration fold across the full range of operating rules (extreme rules are statistically indistinguishable; operational rules in the 85--95% band differ between folds by 1--5 percentage points, reflecting within-Firm-A heterogeneity in replication intensity rather than a generalization failure), and the threshold-independent partner-ranking analysis (Section IV-G.2) shows that Firm A auditor-years occupy 95.9% of the top decile of similarity-ranked auditor-years against a 27.8% baseline share—a 3.5$\times$ concentration ratio that uses only ordinal ranking and is independent of any absolute cutoff.</w:t>
      </w:r>
    </w:p>
    <w:p>
      <w:pPr>
        <w:spacing w:after="120"/>
      </w:pPr>
      <w:r>
        <w:rPr>
          <w:rFonts w:ascii="Times New Roman" w:hAnsi="Times New Roman"/>
          <w:sz w:val="20"/>
        </w:rPr>
        <w:t>The replication-dominated framing is internally coherent with both pieces of evidence, and it predicts and explains the residuals that a "near-universal" framing would be forced to treat as noise. We therefore recommend that future work building on this calibration strategy should explicitly distinguish replication-dominated from replication-pure calibration anchors.</w:t>
      </w:r>
    </w:p>
    <w:p>
      <w:pPr>
        <w:pStyle w:val="Heading2"/>
      </w:pPr>
      <w:r>
        <w:rPr>
          <w:color w:val="000000"/>
        </w:rPr>
        <w:t>D. The Style-Replication Gap</w:t>
      </w:r>
    </w:p>
    <w:p>
      <w:pPr>
        <w:spacing w:after="120"/>
      </w:pPr>
      <w:r>
        <w:rPr>
          <w:rFonts w:ascii="Times New Roman" w:hAnsi="Times New Roman"/>
          <w:sz w:val="20"/>
        </w:rPr>
        <w:t>Within the 71,656 documents exceeding cosine $0.95$, the dHash descriptor partitions them into three distinct populations: 29,529 (41.2%) with high-confidence structural evidence of non-hand-signing, 36,994 (51.7%) with moderate structural similarity, and 5,133 (7.2%) with no structural corroboration despite near-identical feature-level appearance. A cosine-only classifier would treat all 71,656 documents identically; the dual-descriptor framework separates them into populations with fundamentally different interpretations.</w:t>
      </w:r>
    </w:p>
    <w:p>
      <w:pPr>
        <w:spacing w:after="120"/>
      </w:pPr>
      <w:r>
        <w:rPr>
          <w:rFonts w:ascii="Times New Roman" w:hAnsi="Times New Roman"/>
          <w:sz w:val="20"/>
        </w:rPr>
        <w:t>The 7.2% classified as "high style consistency" (cosine $&gt; 0.95$ but dHash $&gt; 15$) are particularly informative. Several plausible explanations may account for their high feature similarity without structural identity, though we lack direct evidence to confirm their relative contributions. Many accountants may develop highly consistent signing habits—using similar pen pressure, stroke order, and spatial layout—resulting in signatures that appear nearly identical at the semantic feature level while retaining the microscopic variations inherent to handwriting. Some may use signing pads or templates that further constrain variability without constituting image-level reproduction. The dual-descriptor framework correctly identifies these cases as distinct from non-hand-signed signatures by detecting the absence of structural-level convergence.</w:t>
      </w:r>
    </w:p>
    <w:p>
      <w:pPr>
        <w:pStyle w:val="Heading2"/>
      </w:pPr>
      <w:r>
        <w:rPr>
          <w:color w:val="000000"/>
        </w:rPr>
        <w:t>E. Value of a Replication-Dominated Calibration Group</w:t>
      </w:r>
    </w:p>
    <w:p>
      <w:pPr>
        <w:spacing w:after="120"/>
      </w:pPr>
      <w:r>
        <w:rPr>
          <w:rFonts w:ascii="Times New Roman" w:hAnsi="Times New Roman"/>
          <w:sz w:val="20"/>
        </w:rPr>
        <w:t>The use of Firm A as a calibration reference addresses a fundamental challenge in document forensics: the scarcity of ground truth labels. In most forensic applications, establishing ground truth requires expensive manual verification or access to privileged information about document provenance. Our approach leverages domain knowledge—the established prevalence of non-hand-signing at a specific firm—to create a naturally occurring reference population within the dataset.</w:t>
      </w:r>
    </w:p>
    <w:p>
      <w:pPr>
        <w:spacing w:after="120"/>
      </w:pPr>
      <w:r>
        <w:rPr>
          <w:rFonts w:ascii="Times New Roman" w:hAnsi="Times New Roman"/>
          <w:sz w:val="20"/>
        </w:rPr>
        <w:t>This calibration strategy has broader applicability beyond signature analysis. Any forensic detection system operating on real-world corpora can benefit from identifying subpopulations with known dominant characteristics (positive or negative) to anchor threshold selection, particularly when the distributions of interest are non-normal and non-parametric or mixture-based thresholds are preferred over parametric alternatives. The framing we adopt—replication-dominated rather than replication-pure—is an important refinement of this strategy: it prevents overclaim, accommodates the within-firm heterogeneity visible in the unimodal-long-tail shape of Firm A's per-signature cosine distribution, and yields classification rates that are internally consistent with the data.</w:t>
      </w:r>
    </w:p>
    <w:p>
      <w:pPr>
        <w:pStyle w:val="Heading2"/>
      </w:pPr>
      <w:r>
        <w:rPr>
          <w:color w:val="000000"/>
        </w:rPr>
        <w:t>F. Pixel-Identity and Inter-CPA Anchors as Annotation-Free Validation</w:t>
      </w:r>
    </w:p>
    <w:p>
      <w:pPr>
        <w:spacing w:after="120"/>
      </w:pPr>
      <w:r>
        <w:rPr>
          <w:rFonts w:ascii="Times New Roman" w:hAnsi="Times New Roman"/>
          <w:sz w:val="20"/>
        </w:rPr>
        <w:t>A further methodological contribution is the combination of byte-level pixel identity as an annotation-free conservative gold positive and a large random-inter-CPA negative anchor. Handwriting physics makes byte-identity impossible under independent signing events, so any pair of same-CPA signatures that are byte-identical after crop and normalization is pair-level proof of image reuse and, modulo the narrow source-template edge case discussed in the seventh limitation below, a conservative positive for non-hand-signing without requiring human review. In our corpus 310 signatures satisfied this condition. We emphasize that byte-identical pairs are a subset of the true non-hand-signed positive class—they capture only those whose nearest same-CPA match happens to be bytewise identical, excluding replications that are pixel-near-identical but not byte-identical (for example, under different scan or compression pathways). Perfect recall against this subset therefore does not generalize to perfect recall against the full non-hand-signed population; it is a lower-bound calibration check on the classifier's ability to catch the clearest positives rather than a generalizable recall estimate.</w:t>
      </w:r>
    </w:p>
    <w:p>
      <w:pPr>
        <w:spacing w:after="120"/>
      </w:pPr>
      <w:r>
        <w:rPr>
          <w:rFonts w:ascii="Times New Roman" w:hAnsi="Times New Roman"/>
          <w:sz w:val="20"/>
        </w:rPr>
        <w:t>Paired with the $\sim$50,000-pair inter-CPA negative anchor, the byte-identical positives yield FAR estimates with tight Wilson 95% confidence intervals (Table X), which is a substantive improvement over the low-similarity same-CPA negative ($n = 35$) we originally considered. The combination is a reusable pattern for other document-forensics settings in which the target mechanism leaves a byte-level physical signature in the artifact itself, provided that its generalization limits are acknowledged: FAR is informative, whereas recall is valid only for the conservative subset.</w:t>
      </w:r>
    </w:p>
    <w:p>
      <w:pPr>
        <w:pStyle w:val="Heading2"/>
      </w:pPr>
      <w:r>
        <w:rPr>
          <w:color w:val="000000"/>
        </w:rPr>
        <w:t>G. Limitations</w:t>
      </w:r>
    </w:p>
    <w:p>
      <w:pPr>
        <w:spacing w:after="120"/>
      </w:pPr>
      <w:r>
        <w:rPr>
          <w:rFonts w:ascii="Times New Roman" w:hAnsi="Times New Roman"/>
          <w:sz w:val="20"/>
        </w:rPr>
        <w:t>Several limitations should be acknowledged.</w:t>
      </w:r>
    </w:p>
    <w:p>
      <w:pPr>
        <w:spacing w:after="120"/>
      </w:pPr>
      <w:r>
        <w:rPr>
          <w:rFonts w:ascii="Times New Roman" w:hAnsi="Times New Roman"/>
          <w:sz w:val="20"/>
        </w:rPr>
        <w:t>First, comprehensive per-document ground truth labels are not available. The pixel-identity anchor is a strict subset of the true non-hand-signing positives (only those whose nearest same-CPA match happens to be byte-identical), so perfect recall against this anchor does not establish the classifier's recall on the broader positive class. The low-similarity same-CPA anchor ($n = 35$) is small because intra-CPA pairs rarely fall below cosine 0.70; we use the $\sim$50,000-pair inter-CPA negative anchor as the primary negative reference, which yields tight Wilson 95% CIs on FAR (Table X), but it too does not exhaust the set of true negatives (in particular, same-CPA hand-signed pairs with moderate cosine similarity are not sampled). A manual-adjudication study concentrated at the decision boundary—for example 100--300 auditor-years stratified by cosine band—would further strengthen the recall estimate against the full positive class.</w:t>
      </w:r>
    </w:p>
    <w:p>
      <w:pPr>
        <w:spacing w:after="120"/>
      </w:pPr>
      <w:r>
        <w:rPr>
          <w:rFonts w:ascii="Times New Roman" w:hAnsi="Times New Roman"/>
          <w:sz w:val="20"/>
        </w:rPr>
        <w:t>Second, the ResNet-50 feature extractor was used with pre-trained ImageNet weights without domain-specific fine-tuning. While our ablation study and prior literature [20]--[22] support the effectiveness of transferred ImageNet features for signature comparison, a signature-specific feature extractor could improve discriminative performance.</w:t>
      </w:r>
    </w:p>
    <w:p>
      <w:pPr>
        <w:spacing w:after="120"/>
      </w:pPr>
      <w:r>
        <w:rPr>
          <w:rFonts w:ascii="Times New Roman" w:hAnsi="Times New Roman"/>
          <w:sz w:val="20"/>
        </w:rPr>
        <w:t>Third, the red stamp removal preprocessing uses simple HSV color-space filtering, which may introduce artifacts where handwritten strokes overlap with red seal impressions. In these overlap regions, blended pixels are replaced with white, potentially creating small gaps in the signature strokes that could reduce dHash similarity. This effect would bias classification toward false negatives rather than false positives, but the magnitude has not been quantified.</w:t>
      </w:r>
    </w:p>
    <w:p>
      <w:pPr>
        <w:spacing w:after="120"/>
      </w:pPr>
      <w:r>
        <w:rPr>
          <w:rFonts w:ascii="Times New Roman" w:hAnsi="Times New Roman"/>
          <w:sz w:val="20"/>
        </w:rPr>
        <w:t>Fourth, scanning equipment, PDF generation software, and compression algorithms may have changed over the 10-year study period (2013--2023), potentially affecting similarity measurements. While cosine similarity and dHash are designed to be robust to such variations, longitudinal confounds cannot be entirely excluded.</w:t>
      </w:r>
    </w:p>
    <w:p>
      <w:pPr>
        <w:spacing w:after="120"/>
      </w:pPr>
      <w:r>
        <w:rPr>
          <w:rFonts w:ascii="Times New Roman" w:hAnsi="Times New Roman"/>
          <w:sz w:val="20"/>
        </w:rPr>
        <w:t>Fifth, our cross-sectional analysis does not track individual CPAs longitudinally and therefore cannot confirm or rule out within-CPA mechanism transitions over the sample period (e.g., a CPA who hand-signed early in the sample and switched to firm-level e-signing later, or vice versa). Extending the analysis to auditor-year units—computing per-signature statistics within each fiscal year and observing how individual CPAs move across years—is the natural next step for resolving such within-CPA transitions and is left to future work.</w:t>
      </w:r>
    </w:p>
    <w:p>
      <w:pPr>
        <w:spacing w:after="120"/>
      </w:pPr>
      <w:r>
        <w:rPr>
          <w:rFonts w:ascii="Times New Roman" w:hAnsi="Times New Roman"/>
          <w:sz w:val="20"/>
        </w:rPr>
        <w:t>Sixth, the max/min detection logic treats both ends of a near-identical same-CPA pair as non-hand-signed. In the rare case that one of the two documents contains a genuinely hand-signed exemplar that was subsequently reused as the stamping or e-signature template, the pair correctly identifies image reuse but misattributes the non-hand-signed status to the source exemplar. This misattribution affects at most one source document per template variant per CPA (the exemplar from which the template was produced), is not expected to be common given that stored signature templates are typically generated in a separate acquisition step rather than extracted from submitted audit reports, and does not materially affect aggregate capture rates at the firm level.</w:t>
      </w:r>
    </w:p>
    <w:p>
      <w:pPr>
        <w:spacing w:after="120"/>
      </w:pPr>
      <w:r>
        <w:rPr>
          <w:rFonts w:ascii="Times New Roman" w:hAnsi="Times New Roman"/>
          <w:sz w:val="20"/>
        </w:rPr>
        <w:t>Seventh, our analyses remain at the signature level; we abstain from partner-level frequency inferences such as "X% of CPAs hand-sign in a given year." Per-signature labels in this paper are not translated to per-report or per-partner mechanism assignments, because making such a translation would require an assumption of within-year uniformity of signing mechanisms that we do not adopt: a CPA's signatures within a single fiscal year may reflect a single replication template, multiple templates used in parallel (e.g., for different engagement positions or reporting pipelines), within-year mechanism mixing, or a combination, and the data at hand do not disambiguate these possibilities (Section III-G). The signature-level rates we report, including the 92.5% / 7.5% Firm A split and the year-by-year left-tail share of Section IV-G.1, should accordingly be read as signature-level quantities rather than partner-level frequencies.</w:t>
      </w:r>
    </w:p>
    <w:p>
      <w:pPr>
        <w:spacing w:after="120"/>
      </w:pPr>
      <w:r>
        <w:rPr>
          <w:rFonts w:ascii="Times New Roman" w:hAnsi="Times New Roman"/>
          <w:sz w:val="20"/>
        </w:rPr>
        <w:t>Finally, the legal and regulatory implications of our findings depend on jurisdictional definitions of "signature" and "signing." Whether non-hand-signing of a CPA's own stored signature constitutes a violation of signing requirements is a legal question that our technical analysis can inform but cannot resolve.</w:t>
      </w:r>
    </w:p>
    <w:p>
      <w:pPr>
        <w:pStyle w:val="Heading1"/>
      </w:pPr>
      <w:r>
        <w:rPr>
          <w:color w:val="000000"/>
        </w:rPr>
        <w:t>VI. Conclusion and Future Work</w:t>
      </w:r>
    </w:p>
    <w:p>
      <w:pPr>
        <w:pStyle w:val="Heading2"/>
      </w:pPr>
      <w:r>
        <w:rPr>
          <w:color w:val="000000"/>
        </w:rPr>
        <w:t>Conclusion</w:t>
      </w:r>
    </w:p>
    <w:p>
      <w:pPr>
        <w:spacing w:after="120"/>
      </w:pPr>
      <w:r>
        <w:rPr>
          <w:rFonts w:ascii="Times New Roman" w:hAnsi="Times New Roman"/>
          <w:sz w:val="20"/>
        </w:rPr>
        <w:t>We have presented an end-to-end AI pipeline for detecting non-hand-signed auditor signatures in financial audit reports at scale. Applied to 90,282 audit reports from Taiwanese publicly listed companies spanning 2013--2023, our system extracted and analyzed 182,328 CPA signatures using a combination of VLM-based page identification, YOLO-based signature detection, deep feature extraction, and dual-descriptor similarity verification, with the operational classifier's cosine cut anchored on a whole-sample Firm A percentile heuristic and the per-signature similarity distribution characterised through two threshold estimators and a density-smoothness diagnostic.</w:t>
      </w:r>
    </w:p>
    <w:p>
      <w:pPr>
        <w:spacing w:after="120"/>
      </w:pPr>
      <w:r>
        <w:rPr>
          <w:rFonts w:ascii="Times New Roman" w:hAnsi="Times New Roman"/>
          <w:sz w:val="20"/>
        </w:rPr>
        <w:t>The seven numbered contributions listed in Section I can be grouped into four broader methodological themes, summarized below.</w:t>
      </w:r>
    </w:p>
    <w:p>
      <w:pPr>
        <w:spacing w:after="120"/>
      </w:pPr>
      <w:r>
        <w:rPr>
          <w:rFonts w:ascii="Times New Roman" w:hAnsi="Times New Roman"/>
          <w:sz w:val="20"/>
        </w:rPr>
        <w:t>First, we argued that non-hand-signing detection is a distinct problem from signature forgery detection, requiring analytical tools focused on the upper tail of intra-signer similarity rather than inter-signer discriminability.</w:t>
      </w:r>
    </w:p>
    <w:p>
      <w:pPr>
        <w:spacing w:after="120"/>
      </w:pPr>
      <w:r>
        <w:rPr>
          <w:rFonts w:ascii="Times New Roman" w:hAnsi="Times New Roman"/>
          <w:sz w:val="20"/>
        </w:rPr>
        <w:t>Second, we showed that combining cosine similarity of deep embeddings with difference hashing is essential for meaningful classification—among 71,656 documents with high feature-level similarity, the dual-descriptor framework revealed that only 41% exhibit converging structural evidence of non-hand-signing while 7% show no structural corroboration despite near-identical feature-level appearance, demonstrating that a single-descriptor approach conflates style consistency with image reproduction.</w:t>
      </w:r>
    </w:p>
    <w:p>
      <w:pPr>
        <w:spacing w:after="120"/>
      </w:pPr>
      <w:r>
        <w:rPr>
          <w:rFonts w:ascii="Times New Roman" w:hAnsi="Times New Roman"/>
          <w:sz w:val="20"/>
        </w:rPr>
        <w:t>Third, we characterised the per-signature similarity distribution using three diagnostics—a Hartigan dip test, an EM-fitted Beta mixture (with logit-Gaussian robustness check), and a Burgstahler-Dichev / McCrary density-smoothness procedure—and showed that no two-mechanism mixture cleanly explains it: the dip test fails to reject unimodality for Firm A ($p = 0.17$), BIC strongly prefers a 3-component over a 2-component Beta fit ($\Delta\text{BIC} = 381$ for Firm A), and the BD/McCrary candidate transition lies inside the non-hand-signed mode rather than between modes (and is not bin-width-stable; Appendix A). The substantive reading is that pixel-level output quality is a continuous spectrum produced by firm-specific reproduction technologies (administrative stamping in early years, firm-level e-signing later) and scan conditions, rather than a discrete class cleanly separated from hand-signing. This reading motivates anchoring the operational classifier's cosine cut on a whole-sample Firm A P7.5 percentile heuristic (cos $&gt; 0.95$) rather than on a mixture-fit crossing.</w:t>
      </w:r>
    </w:p>
    <w:p>
      <w:pPr>
        <w:spacing w:after="120"/>
      </w:pPr>
      <w:r>
        <w:rPr>
          <w:rFonts w:ascii="Times New Roman" w:hAnsi="Times New Roman"/>
          <w:sz w:val="20"/>
        </w:rPr>
        <w:t>Fourth, we introduced a replication-dominated calibration methodology—explicitly distinguishing replication-dominated from replication-pure calibration anchors and validating classification against a byte-level pixel-identity anchor (310 byte-identical signatures) paired with a $\sim$50,000-pair inter-CPA negative anchor. To document the within-firm sampling variance of using the calibration firm as its own validation reference, we split the firm's CPAs 70/30 at the CPA level and report capture rates on both folds with Wilson 95% confidence intervals; extreme rules agree across folds while rules in the operational 85--95% capture band differ by 1--5 percentage points, reflecting within-firm heterogeneity in replication intensity rather than generalization failure. This framing is internally consistent with the available evidence: the byte-level pair analysis finding of 145 pixel-identical calibration-firm signatures across 50 distinct partners of 180 registered (Section IV-F.1); the 92.5% / 7.5% split in signature-level cosine thresholds and the dip-test-confirmed unimodal-long-tail shape of Firm A's per-signature cosine distribution (Section IV-D.1); and the 95.9% top-decile concentration of Firm A auditor-years in the threshold-independent partner-ranking analysis (Section IV-G.2).</w:t>
      </w:r>
    </w:p>
    <w:p>
      <w:pPr>
        <w:spacing w:after="120"/>
      </w:pPr>
      <w:r>
        <w:rPr>
          <w:rFonts w:ascii="Times New Roman" w:hAnsi="Times New Roman"/>
          <w:sz w:val="20"/>
        </w:rPr>
        <w:t>An ablation study comparing ResNet-50, VGG-16 and EfficientNet-B0 confirmed that ResNet-50 offers the best balance of discriminative power, classification stability, and computational efficiency for this task.</w:t>
      </w:r>
    </w:p>
    <w:p>
      <w:pPr>
        <w:pStyle w:val="Heading2"/>
      </w:pPr>
      <w:r>
        <w:rPr>
          <w:color w:val="000000"/>
        </w:rPr>
        <w:t>Future Work</w:t>
      </w:r>
    </w:p>
    <w:p>
      <w:pPr>
        <w:spacing w:after="120"/>
      </w:pPr>
      <w:r>
        <w:rPr>
          <w:rFonts w:ascii="Times New Roman" w:hAnsi="Times New Roman"/>
          <w:sz w:val="20"/>
        </w:rPr>
        <w:t>Several directions merit further investigation. Domain-adapted feature extractors, trained or fine-tuned on signature-specific datasets, may improve discriminative performance beyond the transferred ImageNet features used in this study. Extending the analysis to auditor-year units—computing per-signature statistics within each fiscal year and tracking how individual CPAs move across years—could reveal within-CPA transitions between hand-signing and non-hand-signing over the decade and is the natural next step beyond the cross-sectional analysis reported here. The pipeline's applicability to other jurisdictions and document types (e.g., corporate filings in other countries, legal documents, medical records) warrants exploration. The replication-dominated calibration strategy and the pixel-identity anchor technique are both generalizable to settings in which (i) a reference subpopulation has a known dominant mechanism and (ii) the target mechanism leaves a byte-level signature in the artifact itself, conditional on the availability of analogous anchors in the new domain and on artifact-generation physics that preserve the byte-level trace. Finally, integration with regulatory monitoring systems and a larger negative-anchor study—for example drawing from inter-CPA pairs under explicit accountant-level blocking—would strengthen the practical deployment potential of this approach.</w:t>
      </w:r>
    </w:p>
    <w:p>
      <w:pPr>
        <w:pStyle w:val="Heading1"/>
      </w:pPr>
      <w:r>
        <w:rPr>
          <w:color w:val="000000"/>
        </w:rPr>
        <w:t>Appendix A. BD/McCrary Bin-Width Sensitivity (Signature Level)</w:t>
      </w:r>
    </w:p>
    <w:p>
      <w:pPr>
        <w:spacing w:after="120"/>
      </w:pPr>
      <w:r>
        <w:rPr>
          <w:rFonts w:ascii="Times New Roman" w:hAnsi="Times New Roman"/>
          <w:sz w:val="20"/>
        </w:rPr>
        <w:t>The main text (Section III-I, Section IV-D.2) treats the Burgstahler-Dichev / McCrary discontinuity procedure [38], [39] as a density-smoothness diagnostic rather than as a threshold estimator. This appendix documents the empirical basis for that framing by sweeping the bin width across four (variant, bin-width) panels: Firm A and full-sample, each in the cosine and $\text{dHash}_\text{indep}$ direction.</w:t>
      </w:r>
    </w:p>
    <w:p>
      <w:pPr>
        <w:spacing w:after="120"/>
      </w:pPr>
      <w:r>
        <w:rPr>
          <w:rFonts w:ascii="Times New Roman" w:hAnsi="Times New Roman"/>
          <w:sz w:val="20"/>
        </w:rPr>
        <w:t>Two patterns are visible in Table A.I. First, the procedure consistently identifies a "transition" under every bin width, but the location of that transition drifts monotonically with bin width (Firm A cosine: 0.987 → 0.985 → 0.980 → 0.975 as bin width grows from 0.003 to 0.015; full-sample dHash: 2 → 10 → 9 as the bin width grows from 1 to 3). The $Z$ statistics also inflate superlinearly with the bin width (Firm A cosine $|Z|$ rises from $\sim 9$ at bin 0.003 to $\sim 106$ at bin 0.015) because wider bins aggregate more mass per bin and therefore shrink the per-bin standard error on a very large sample. Both features are characteristic of a histogram-resolution artifact rather than of a genuine density discontinuity.</w:t>
      </w:r>
    </w:p>
    <w:p>
      <w:pPr>
        <w:spacing w:after="120"/>
      </w:pPr>
      <w:r>
        <w:rPr>
          <w:rFonts w:ascii="Times New Roman" w:hAnsi="Times New Roman"/>
          <w:sz w:val="20"/>
        </w:rPr>
        <w:t>Second, the candidate transitions all locate inside the non-hand-signed mode (cosine $\geq 0.975$, dHash $\leq 10$) rather than between modes, which is the location pattern we would expect of a clean two-mechanism boundary.</w:t>
      </w:r>
    </w:p>
    <w:p>
      <w:pPr>
        <w:spacing w:after="120"/>
      </w:pPr>
      <w:r>
        <w:rPr>
          <w:rFonts w:ascii="Times New Roman" w:hAnsi="Times New Roman"/>
          <w:sz w:val="20"/>
        </w:rPr>
        <w:t>Taken together, Table A.I shows that the signature-level BD/McCrary transitions are not a threshold in the usual sense—they are histogram-resolution-dependent local density anomalies located inside the non-hand-signed mode rather than between modes. This observation supports the main-text decision to use BD/McCrary as a density-smoothness diagnostic rather than as a threshold estimator and reinforces the joint reading of Section IV-D that per-signature similarity does not form a clean two-mechanism mixture.</w:t>
      </w:r>
    </w:p>
    <w:p>
      <w:pPr>
        <w:spacing w:after="120"/>
      </w:pPr>
      <w:r>
        <w:rPr>
          <w:rFonts w:ascii="Times New Roman" w:hAnsi="Times New Roman"/>
          <w:sz w:val="20"/>
        </w:rPr>
        <w:t>Raw per-bin $Z$ sequences and $p$-values for every (variant, bin-width) panel are available in the supplementary materials.</w:t>
      </w:r>
    </w:p>
    <w:p>
      <w:pPr>
        <w:pStyle w:val="Heading1"/>
      </w:pPr>
      <w:r>
        <w:rPr>
          <w:color w:val="000000"/>
        </w:rPr>
        <w:t>Appendix B. Table-to-Script Provenance</w:t>
      </w:r>
    </w:p>
    <w:p>
      <w:pPr>
        <w:spacing w:after="120"/>
      </w:pPr>
      <w:r>
        <w:rPr>
          <w:rFonts w:ascii="Times New Roman" w:hAnsi="Times New Roman"/>
          <w:sz w:val="20"/>
        </w:rPr>
        <w:t>For reproducibility, the following table maps each numerical table in Section IV to the analysis script that produces its underlying values and to the report file emitted by that script. Scripts are under signature_analysis/. Report artifact paths below are listed relative to the project's analysis report root, which is /Volumes/NV2/PDF-Processing/signature-analysis/ in our local deployment; replicators should rebase the paths to whatever report root they configure when invoking the scripts.</w:t>
      </w:r>
    </w:p>
    <w:p>
      <w:pPr>
        <w:spacing w:after="120"/>
      </w:pPr>
      <w:r>
        <w:rPr>
          <w:rFonts w:ascii="Times New Roman" w:hAnsi="Times New Roman"/>
          <w:sz w:val="20"/>
        </w:rPr>
        <w:t>The table-to-script mapping above is intended as a navigation aid for replicators. All scripts run deterministically under the fixed random seeds documented in the supplementary materials; the artifact paths above were verified against the local deployment at the time of submission, and any reviewer reproduction step should re-emit the artifacts from the listed scripts rather than depend on the absolute path layout.</w:t>
      </w:r>
    </w:p>
    <w:p>
      <w:pPr>
        <w:pStyle w:val="Heading1"/>
      </w:pPr>
      <w:r>
        <w:rPr>
          <w:color w:val="000000"/>
        </w:rPr>
        <w:t>Declarations</w:t>
      </w:r>
    </w:p>
    <w:p>
      <w:pPr>
        <w:spacing w:after="120"/>
      </w:pPr>
      <w:r>
        <w:rPr>
          <w:rFonts w:ascii="Times New Roman" w:hAnsi="Times New Roman"/>
          <w:sz w:val="20"/>
        </w:rPr>
        <w:t>Conflict of interest. The authors declare no conflict of interest with Firm A, Firm B, Firm C, or Firm D, or with any other entity referenced in this work.</w:t>
      </w:r>
    </w:p>
    <w:p>
      <w:pPr>
        <w:spacing w:after="120"/>
      </w:pPr>
      <w:r>
        <w:rPr>
          <w:rFonts w:ascii="Times New Roman" w:hAnsi="Times New Roman"/>
          <w:sz w:val="20"/>
        </w:rPr>
        <w:t>Data availability. All audit reports analysed in this study were obtained from the Market Observation Post System (MOPS) operated by the Taiwan Stock Exchange Corporation, a publicly accessible regulatory disclosure platform. The CPA registry used to map signatures to certifying CPAs is publicly available. Signature images, model weights, and reproducibility scripts are available in the supplementary materials.</w:t>
      </w:r>
    </w:p>
    <w:p>
      <w:pPr>
        <w:spacing w:after="120"/>
      </w:pPr>
      <w:r>
        <w:rPr>
          <w:rFonts w:ascii="Times New Roman" w:hAnsi="Times New Roman"/>
          <w:sz w:val="20"/>
        </w:rPr>
        <w:t>Funding. [To be filled in before submission.]</w:t>
      </w:r>
    </w:p>
    <w:p>
      <w:pPr>
        <w:pStyle w:val="Heading1"/>
      </w:pPr>
      <w:r>
        <w:rPr>
          <w:color w:val="000000"/>
        </w:rPr>
        <w:t>References</w:t>
      </w:r>
    </w:p>
    <w:p>
      <w:pPr>
        <w:spacing w:after="120"/>
      </w:pPr>
      <w:r>
        <w:rPr>
          <w:rFonts w:ascii="Times New Roman" w:hAnsi="Times New Roman"/>
          <w:sz w:val="20"/>
        </w:rPr>
        <w:t>[1] Taiwan Certified Public Accountant Act (會計師法), Art. 4; FSC Attestation Regulations (查核簽證核准準則), Art. 6. Available: https://law.moj.gov.tw/ENG/LawClass/LawAll.aspx?pcode=G0400067</w:t>
      </w:r>
    </w:p>
    <w:p>
      <w:pPr>
        <w:spacing w:after="120"/>
      </w:pPr>
      <w:r>
        <w:rPr>
          <w:rFonts w:ascii="Times New Roman" w:hAnsi="Times New Roman"/>
          <w:sz w:val="20"/>
        </w:rPr>
        <w:t>[2] S.-H. Yen, Y.-S. Chang, and H.-L. Chen, "Does the signature of a CPA matter? Evidence from Taiwan," Res. Account. Regul., vol. 25, no. 2, pp. 230–235, 2013.</w:t>
      </w:r>
    </w:p>
    <w:p>
      <w:pPr>
        <w:spacing w:after="120"/>
      </w:pPr>
      <w:r>
        <w:rPr>
          <w:rFonts w:ascii="Times New Roman" w:hAnsi="Times New Roman"/>
          <w:sz w:val="20"/>
        </w:rPr>
        <w:t>[3] J. Bromley et al., "Signature verification using a Siamese time delay neural network," in Proc. NeurIPS, 1993.</w:t>
      </w:r>
    </w:p>
    <w:p>
      <w:pPr>
        <w:spacing w:after="120"/>
      </w:pPr>
      <w:r>
        <w:rPr>
          <w:rFonts w:ascii="Times New Roman" w:hAnsi="Times New Roman"/>
          <w:sz w:val="20"/>
        </w:rPr>
        <w:t>[4] S. Dey et al., "SigNet: Convolutional Siamese network for writer independent offline signature verification," arXiv:1707.02131, 2017.</w:t>
      </w:r>
    </w:p>
    <w:p>
      <w:pPr>
        <w:spacing w:after="120"/>
      </w:pPr>
      <w:r>
        <w:rPr>
          <w:rFonts w:ascii="Times New Roman" w:hAnsi="Times New Roman"/>
          <w:sz w:val="20"/>
        </w:rPr>
        <w:t>[5] H.-H. Kao and C.-Y. Wen, "An offline signature verification and forgery detection method based on a single known sample and an explainable deep learning approach," Appl. Sci., vol. 10, no. 11, p. 3716, 2020.</w:t>
      </w:r>
    </w:p>
    <w:p>
      <w:pPr>
        <w:spacing w:after="120"/>
      </w:pPr>
      <w:r>
        <w:rPr>
          <w:rFonts w:ascii="Times New Roman" w:hAnsi="Times New Roman"/>
          <w:sz w:val="20"/>
        </w:rPr>
        <w:t>[6] H. Li et al., "TransOSV: Offline signature verification with transformers," Pattern Recognit., vol. 145, p. 109882, 2024.</w:t>
      </w:r>
    </w:p>
    <w:p>
      <w:pPr>
        <w:spacing w:after="120"/>
      </w:pPr>
      <w:r>
        <w:rPr>
          <w:rFonts w:ascii="Times New Roman" w:hAnsi="Times New Roman"/>
          <w:sz w:val="20"/>
        </w:rPr>
        <w:t>[7] S. Tehsin et al., "Enhancing signature verification using triplet Siamese similarity networks in digital documents," Mathematics, vol. 12, no. 17, p. 2757, 2024.</w:t>
      </w:r>
    </w:p>
    <w:p>
      <w:pPr>
        <w:spacing w:after="120"/>
      </w:pPr>
      <w:r>
        <w:rPr>
          <w:rFonts w:ascii="Times New Roman" w:hAnsi="Times New Roman"/>
          <w:sz w:val="20"/>
        </w:rPr>
        <w:t>[8] P. Brimoh and C. C. Olisah, "Consensus-threshold criterion for offline signature verification using CNN learned representations," arXiv:2401.03085, 2024.</w:t>
      </w:r>
    </w:p>
    <w:p>
      <w:pPr>
        <w:spacing w:after="120"/>
      </w:pPr>
      <w:r>
        <w:rPr>
          <w:rFonts w:ascii="Times New Roman" w:hAnsi="Times New Roman"/>
          <w:sz w:val="20"/>
        </w:rPr>
        <w:t>[9] N. Woodruff et al., "Fully-automatic pipeline for document signature analysis to detect money laundering activities," arXiv:2107.14091, 2021.</w:t>
      </w:r>
    </w:p>
    <w:p>
      <w:pPr>
        <w:spacing w:after="120"/>
      </w:pPr>
      <w:r>
        <w:rPr>
          <w:rFonts w:ascii="Times New Roman" w:hAnsi="Times New Roman"/>
          <w:sz w:val="20"/>
        </w:rPr>
        <w:t>[10] S. Abramova and R. Böhme, "Detecting copy-move forgeries in scanned text documents," in Proc. Electronic Imaging, 2016.</w:t>
      </w:r>
    </w:p>
    <w:p>
      <w:pPr>
        <w:spacing w:after="120"/>
      </w:pPr>
      <w:r>
        <w:rPr>
          <w:rFonts w:ascii="Times New Roman" w:hAnsi="Times New Roman"/>
          <w:sz w:val="20"/>
        </w:rPr>
        <w:t>[11] Y. Li et al., "Copy-move forgery detection in digital image forensics: A survey," Multimedia Tools Appl., 2024.</w:t>
      </w:r>
    </w:p>
    <w:p>
      <w:pPr>
        <w:spacing w:after="120"/>
      </w:pPr>
      <w:r>
        <w:rPr>
          <w:rFonts w:ascii="Times New Roman" w:hAnsi="Times New Roman"/>
          <w:sz w:val="20"/>
        </w:rPr>
        <w:t>[12] Y. Jakhar and M. D. Borah, "Effective near-duplicate image detection using perceptual hashing and deep learning," Inf. Process. Manage., p. 104086, 2025.</w:t>
      </w:r>
    </w:p>
    <w:p>
      <w:pPr>
        <w:spacing w:after="120"/>
      </w:pPr>
      <w:r>
        <w:rPr>
          <w:rFonts w:ascii="Times New Roman" w:hAnsi="Times New Roman"/>
          <w:sz w:val="20"/>
        </w:rPr>
        <w:t>[13] E. Pizzi et al., "A self-supervised descriptor for image copy detection," in Proc. CVPR, 2022.</w:t>
      </w:r>
    </w:p>
    <w:p>
      <w:pPr>
        <w:spacing w:after="120"/>
      </w:pPr>
      <w:r>
        <w:rPr>
          <w:rFonts w:ascii="Times New Roman" w:hAnsi="Times New Roman"/>
          <w:sz w:val="20"/>
        </w:rPr>
        <w:t>[14] L. G. Hafemann, R. Sabourin, and L. S. Oliveira, "Learning features for offline handwritten signature verification using deep convolutional neural networks," Pattern Recognit., vol. 70, pp. 163–176, 2017.</w:t>
      </w:r>
    </w:p>
    <w:p>
      <w:pPr>
        <w:spacing w:after="120"/>
      </w:pPr>
      <w:r>
        <w:rPr>
          <w:rFonts w:ascii="Times New Roman" w:hAnsi="Times New Roman"/>
          <w:sz w:val="20"/>
        </w:rPr>
        <w:t>[15] E. N. Zois, D. Tsourounis, and D. Kalivas, "Similarity distance learning on SPD manifold for writer independent offline signature verification," IEEE Trans. Inf. Forensics Security, vol. 19, pp. 1342–1356, 2024.</w:t>
      </w:r>
    </w:p>
    <w:p>
      <w:pPr>
        <w:spacing w:after="120"/>
      </w:pPr>
      <w:r>
        <w:rPr>
          <w:rFonts w:ascii="Times New Roman" w:hAnsi="Times New Roman"/>
          <w:sz w:val="20"/>
        </w:rPr>
        <w:t>[16] L. G. Hafemann, R. Sabourin, and L. S. Oliveira, "Meta-learning for fast classifier adaptation to new users of signature verification systems," IEEE Trans. Inf. Forensics Security, vol. 15, pp. 1735–1745, 2020.</w:t>
      </w:r>
    </w:p>
    <w:p>
      <w:pPr>
        <w:spacing w:after="120"/>
      </w:pPr>
      <w:r>
        <w:rPr>
          <w:rFonts w:ascii="Times New Roman" w:hAnsi="Times New Roman"/>
          <w:sz w:val="20"/>
        </w:rPr>
        <w:t>[17] H. Farid, "Image forgery detection," IEEE Signal Process. Mag., vol. 26, no. 2, pp. 16–25, 2009.</w:t>
      </w:r>
    </w:p>
    <w:p>
      <w:pPr>
        <w:spacing w:after="120"/>
      </w:pPr>
      <w:r>
        <w:rPr>
          <w:rFonts w:ascii="Times New Roman" w:hAnsi="Times New Roman"/>
          <w:sz w:val="20"/>
        </w:rPr>
        <w:t>[18] F. Z. Mehrjardi, A. M. Latif, M. S. Zarchi, and R. Sheikhpour, "A survey on deep learning-based image forgery detection," Pattern Recognit., vol. 144, art. no. 109778, 2023.</w:t>
      </w:r>
    </w:p>
    <w:p>
      <w:pPr>
        <w:spacing w:after="120"/>
      </w:pPr>
      <w:r>
        <w:rPr>
          <w:rFonts w:ascii="Times New Roman" w:hAnsi="Times New Roman"/>
          <w:sz w:val="20"/>
        </w:rPr>
        <w:t>[19] J. Luo et al., "A survey of perceptual hashing for multimedia," ACM Trans. Multimedia Comput. Commun. Appl., vol. 21, no. 7, 2025.</w:t>
      </w:r>
    </w:p>
    <w:p>
      <w:pPr>
        <w:spacing w:after="120"/>
      </w:pPr>
      <w:r>
        <w:rPr>
          <w:rFonts w:ascii="Times New Roman" w:hAnsi="Times New Roman"/>
          <w:sz w:val="20"/>
        </w:rPr>
        <w:t>[20] D. Engin et al., "Offline signature verification on real-world documents," in Proc. CVPRW, 2020.</w:t>
      </w:r>
    </w:p>
    <w:p>
      <w:pPr>
        <w:spacing w:after="120"/>
      </w:pPr>
      <w:r>
        <w:rPr>
          <w:rFonts w:ascii="Times New Roman" w:hAnsi="Times New Roman"/>
          <w:sz w:val="20"/>
        </w:rPr>
        <w:t>[21] D. Tsourounis et al., "From text to signatures: Knowledge transfer for efficient deep feature learning in offline signature verification," Expert Syst. Appl., vol. 189, art. 116136, 2022.</w:t>
      </w:r>
    </w:p>
    <w:p>
      <w:pPr>
        <w:spacing w:after="120"/>
      </w:pPr>
      <w:r>
        <w:rPr>
          <w:rFonts w:ascii="Times New Roman" w:hAnsi="Times New Roman"/>
          <w:sz w:val="20"/>
        </w:rPr>
        <w:t>[22] B. Chamakh and O. Bounouh, "A unified ResNet18-based approach for offline signature classification and verification across multilingual datasets," Procedia Comput. Sci., vol. 270, pp. 4024–4033, 2025.</w:t>
      </w:r>
    </w:p>
    <w:p>
      <w:pPr>
        <w:spacing w:after="120"/>
      </w:pPr>
      <w:r>
        <w:rPr>
          <w:rFonts w:ascii="Times New Roman" w:hAnsi="Times New Roman"/>
          <w:sz w:val="20"/>
        </w:rPr>
        <w:t>[23] A. Babenko, A. Slesarev, A. Chigorin, and V. Lempitsky, "Neural codes for image retrieval," in Proc. ECCV, 2014, pp. 584–599.</w:t>
      </w:r>
    </w:p>
    <w:p>
      <w:pPr>
        <w:spacing w:after="120"/>
      </w:pPr>
      <w:r>
        <w:rPr>
          <w:rFonts w:ascii="Times New Roman" w:hAnsi="Times New Roman"/>
          <w:sz w:val="20"/>
        </w:rPr>
        <w:t>[24] S. Bai, K. Chen, X. Liu, J. Wang, W. Ge, S. Song, K. Dang, P. Wang, S. Wang, J. Tang, H. Zhong, Y. Zhu, M. Yang, Z. Li, J. Wan, P. Wang, W. Ding, Z. Fu, Y. Xu, J. Ye, X. Zhang, T. Xie, Z. Cheng, H. Zhang, Z. Yang, H. Xu, and J. Lin, "Qwen2.5-VL technical report," arXiv:2502.13923, 2025. [Online]. Available: https://arxiv.org/abs/2502.13923</w:t>
      </w:r>
    </w:p>
    <w:p>
      <w:pPr>
        <w:spacing w:after="120"/>
      </w:pPr>
      <w:r>
        <w:rPr>
          <w:rFonts w:ascii="Times New Roman" w:hAnsi="Times New Roman"/>
          <w:sz w:val="20"/>
        </w:rPr>
        <w:t>[25] Ultralytics, "YOLO11 documentation," 2024. [Online]. Available: https://docs.ultralytics.com/models/yolo11/</w:t>
      </w:r>
    </w:p>
    <w:p>
      <w:pPr>
        <w:spacing w:after="120"/>
      </w:pPr>
      <w:r>
        <w:rPr>
          <w:rFonts w:ascii="Times New Roman" w:hAnsi="Times New Roman"/>
          <w:sz w:val="20"/>
        </w:rPr>
        <w:t>[26] K. He, X. Zhang, S. Ren, and J. Sun, "Deep residual learning for image recognition," in Proc. CVPR, 2016.</w:t>
      </w:r>
    </w:p>
    <w:p>
      <w:pPr>
        <w:spacing w:after="120"/>
      </w:pPr>
      <w:r>
        <w:rPr>
          <w:rFonts w:ascii="Times New Roman" w:hAnsi="Times New Roman"/>
          <w:sz w:val="20"/>
        </w:rPr>
        <w:t>[27] N. Krawetz, "Kind of like that," The Hacker Factor Blog, 2013. [Online]. Available: https://www.hackerfactor.com/blog/index.php?/archives/529-Kind-of-Like-That.html</w:t>
      </w:r>
    </w:p>
    <w:p>
      <w:pPr>
        <w:spacing w:after="120"/>
      </w:pPr>
      <w:r>
        <w:rPr>
          <w:rFonts w:ascii="Times New Roman" w:hAnsi="Times New Roman"/>
          <w:sz w:val="20"/>
        </w:rPr>
        <w:t>[28] B. W. Silverman, Density Estimation for Statistics and Data Analysis. London: Chapman &amp; Hall, 1986.</w:t>
      </w:r>
    </w:p>
    <w:p>
      <w:pPr>
        <w:spacing w:after="120"/>
      </w:pPr>
      <w:r>
        <w:rPr>
          <w:rFonts w:ascii="Times New Roman" w:hAnsi="Times New Roman"/>
          <w:sz w:val="20"/>
        </w:rPr>
        <w:t>[29] J. Cohen, Statistical Power Analysis for the Behavioral Sciences, 2nd ed. Hillsdale, NJ: Lawrence Erlbaum, 1988.</w:t>
      </w:r>
    </w:p>
    <w:p>
      <w:pPr>
        <w:spacing w:after="120"/>
      </w:pPr>
      <w:r>
        <w:rPr>
          <w:rFonts w:ascii="Times New Roman" w:hAnsi="Times New Roman"/>
          <w:sz w:val="20"/>
        </w:rPr>
        <w:t>[30] Z. Wang, A. C. Bovik, H. R. Sheikh, and E. P. Simoncelli, "Image quality assessment: From error visibility to structural similarity," IEEE Trans. Image Process., vol. 13, no. 4, pp. 600–612, 2004.</w:t>
      </w:r>
    </w:p>
    <w:p>
      <w:pPr>
        <w:spacing w:after="120"/>
      </w:pPr>
      <w:r>
        <w:rPr>
          <w:rFonts w:ascii="Times New Roman" w:hAnsi="Times New Roman"/>
          <w:sz w:val="20"/>
        </w:rPr>
        <w:t>[31] J. V. Carcello and C. Li, "Costs and benefits of requiring an engagement partner signature: Recent experience in the United Kingdom," The Accounting Review, vol. 88, no. 5, pp. 1511–1546, 2013.</w:t>
      </w:r>
    </w:p>
    <w:p>
      <w:pPr>
        <w:spacing w:after="120"/>
      </w:pPr>
      <w:r>
        <w:rPr>
          <w:rFonts w:ascii="Times New Roman" w:hAnsi="Times New Roman"/>
          <w:sz w:val="20"/>
        </w:rPr>
        <w:t>[32] A. D. Blay, M. Notbohm, C. Schelleman, and A. Valencia, "Audit quality effects of an individual audit engagement partner signature mandate," Int. J. Auditing, vol. 18, no. 3, pp. 172–192, 2014.</w:t>
      </w:r>
    </w:p>
    <w:p>
      <w:pPr>
        <w:spacing w:after="120"/>
      </w:pPr>
      <w:r>
        <w:rPr>
          <w:rFonts w:ascii="Times New Roman" w:hAnsi="Times New Roman"/>
          <w:sz w:val="20"/>
        </w:rPr>
        <w:t>[33] W. Chi, H. Huang, Y. Liao, and H. Xie, "Mandatory audit partner rotation, audit quality, and market perception: Evidence from Taiwan," Contemp. Account. Res., vol. 26, no. 2, pp. 359–391, 2009.</w:t>
      </w:r>
    </w:p>
    <w:p>
      <w:pPr>
        <w:spacing w:after="120"/>
      </w:pPr>
      <w:r>
        <w:rPr>
          <w:rFonts w:ascii="Times New Roman" w:hAnsi="Times New Roman"/>
          <w:sz w:val="20"/>
        </w:rPr>
        <w:t>[34] J. Redmon, S. Divvala, R. Girshick, and A. Farhadi, "You only look once: Unified, real-time object detection," in Proc. CVPR, 2016, pp. 779–788.</w:t>
      </w:r>
    </w:p>
    <w:p>
      <w:pPr>
        <w:spacing w:after="120"/>
      </w:pPr>
      <w:r>
        <w:rPr>
          <w:rFonts w:ascii="Times New Roman" w:hAnsi="Times New Roman"/>
          <w:sz w:val="20"/>
        </w:rPr>
        <w:t>[35] J. Zhang, J. Huang, S. Jin, and S. Lu, "Vision-language models for vision tasks: A survey," IEEE Trans. Pattern Anal. Mach. Intell., vol. 46, no. 8, pp. 5625–5644, 2024.</w:t>
      </w:r>
    </w:p>
    <w:p>
      <w:pPr>
        <w:spacing w:after="120"/>
      </w:pPr>
      <w:r>
        <w:rPr>
          <w:rFonts w:ascii="Times New Roman" w:hAnsi="Times New Roman"/>
          <w:sz w:val="20"/>
        </w:rPr>
        <w:t>[36] H. B. Mann and D. R. Whitney, "On a test of whether one of two random variables is stochastically larger than the other," Ann. Math. Statist., vol. 18, no. 1, pp. 50–60, 1947.</w:t>
      </w:r>
    </w:p>
    <w:p>
      <w:pPr>
        <w:spacing w:after="120"/>
      </w:pPr>
      <w:r>
        <w:rPr>
          <w:rFonts w:ascii="Times New Roman" w:hAnsi="Times New Roman"/>
          <w:sz w:val="20"/>
        </w:rPr>
        <w:t>[37] J. A. Hartigan and P. M. Hartigan, "The dip test of unimodality," Ann. Statist., vol. 13, no. 1, pp. 70–84, 1985.</w:t>
      </w:r>
    </w:p>
    <w:p>
      <w:pPr>
        <w:spacing w:after="120"/>
      </w:pPr>
      <w:r>
        <w:rPr>
          <w:rFonts w:ascii="Times New Roman" w:hAnsi="Times New Roman"/>
          <w:sz w:val="20"/>
        </w:rPr>
        <w:t>[38] D. Burgstahler and I. Dichev, "Earnings management to avoid earnings decreases and losses," J. Account. Econ., vol. 24, no. 1, pp. 99–126, 1997.</w:t>
      </w:r>
    </w:p>
    <w:p>
      <w:pPr>
        <w:spacing w:after="120"/>
      </w:pPr>
      <w:r>
        <w:rPr>
          <w:rFonts w:ascii="Times New Roman" w:hAnsi="Times New Roman"/>
          <w:sz w:val="20"/>
        </w:rPr>
        <w:t>[39] J. McCrary, "Manipulation of the running variable in the regression discontinuity design: A density test," J. Econometrics, vol. 142, no. 2, pp. 698–714, 2008.</w:t>
      </w:r>
    </w:p>
    <w:p>
      <w:pPr>
        <w:spacing w:after="120"/>
      </w:pPr>
      <w:r>
        <w:rPr>
          <w:rFonts w:ascii="Times New Roman" w:hAnsi="Times New Roman"/>
          <w:sz w:val="20"/>
        </w:rPr>
        <w:t>[40] A. P. Dempster, N. M. Laird, and D. B. Rubin, "Maximum likelihood from incomplete data via the EM algorithm," J. R. Statist. Soc. B, vol. 39, no. 1, pp. 1–38, 1977.</w:t>
      </w:r>
    </w:p>
    <w:p>
      <w:pPr>
        <w:spacing w:after="120"/>
      </w:pPr>
      <w:r>
        <w:rPr>
          <w:rFonts w:ascii="Times New Roman" w:hAnsi="Times New Roman"/>
          <w:sz w:val="20"/>
        </w:rPr>
        <w:t>[41] H. White, "Maximum likelihood estimation of misspecified models," Econometrica, vol. 50, no. 1, pp. 1–25, 1982.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