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b w:val="0"/>
          <w:i w:val="0"/>
          <w:sz w:val="20"/>
        </w:rPr>
        <w:t>Regulations require Certified Public Accountants (CPAs) to attest each audit report with a signature, but digitization makes it feasible to reuse a stored signature image across reports — through administrative stamping or firm-level electronic signing — thereby undermining individualized attestation. We build an end-to-end pipeline for screening such non-hand-signed signatures at scale: a Vision-Language Model identifies signature pages, YOLOv11 localizes signatures, ResNet-50 supplies deep features, and a dual-descriptor layer combines cosine similarity with an independent-minimum perceptual hash (dHash) to separate style consistency from image reproduction. Applied to 90,282 Taiwan audit reports (2013–2023), the pipeline yields 182,328 signatures from 758 CPAs; primary analyses are scoped to the Big-4 sub-corpus (437 CPAs; 150,442 signatures). Distributional diagnostics show that the apparent multimodality of the descriptor distribution dissolves under joint firm-mean centring and integer-tie jitter (</w:t>
      </w:r>
      <w:r>
        <w:rPr>
          <w:rFonts w:ascii="Times New Roman" w:hAnsi="Times New Roman"/>
          <w:b w:val="0"/>
          <w:i w:val="0"/>
          <w:sz w:val="20"/>
        </w:rPr>
        <w:t>p</w:t>
      </w:r>
      <w:r>
        <w:rPr>
          <w:rFonts w:ascii="Times New Roman" w:hAnsi="Times New Roman"/>
          <w:b w:val="0"/>
          <w:i w:val="0"/>
          <w:sz w:val="20"/>
        </w:rPr>
        <w:t xml:space="preserve"> rises to </w:t>
      </w:r>
      <w:r>
        <w:rPr>
          <w:rFonts w:ascii="Times New Roman" w:hAnsi="Times New Roman"/>
          <w:b w:val="0"/>
          <w:i w:val="0"/>
          <w:sz w:val="20"/>
        </w:rPr>
        <w:t>0.35</w:t>
      </w:r>
      <w:r>
        <w:rPr>
          <w:rFonts w:ascii="Times New Roman" w:hAnsi="Times New Roman"/>
          <w:b w:val="0"/>
          <w:i w:val="0"/>
          <w:sz w:val="20"/>
        </w:rPr>
        <w:t>), so no within-population bimodal antimode anchors the operational thresholds. We instead adopt an anchor-based inter-CPA coincidence-rate (ICCR) calibration at three units: per-comparison (</w:t>
      </w:r>
      <w:r>
        <w:rPr>
          <w:rFonts w:ascii="Times New Roman" w:hAnsi="Times New Roman"/>
          <w:b w:val="0"/>
          <w:i w:val="0"/>
          <w:sz w:val="20"/>
        </w:rPr>
        <w:t>0.0006</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at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0.00014</w:t>
      </w:r>
      <w:r>
        <w:rPr>
          <w:rFonts w:ascii="Times New Roman" w:hAnsi="Times New Roman"/>
          <w:b w:val="0"/>
          <w:i w:val="0"/>
          <w:sz w:val="20"/>
        </w:rPr>
        <w:t xml:space="preserve"> jointly), pool-normalised per-signature (</w:t>
      </w:r>
      <w:r>
        <w:rPr>
          <w:rFonts w:ascii="Times New Roman" w:hAnsi="Times New Roman"/>
          <w:b w:val="0"/>
          <w:i w:val="0"/>
          <w:sz w:val="20"/>
        </w:rPr>
        <w:t>0.11</w:t>
      </w:r>
      <w:r>
        <w:rPr>
          <w:rFonts w:ascii="Times New Roman" w:hAnsi="Times New Roman"/>
          <w:b w:val="0"/>
          <w:i w:val="0"/>
          <w:sz w:val="20"/>
        </w:rPr>
        <w:t xml:space="preserve"> under the deployed any-pair high-confidence rule), and per-document (</w:t>
      </w:r>
      <w:r>
        <w:rPr>
          <w:rFonts w:ascii="Times New Roman" w:hAnsi="Times New Roman"/>
          <w:b w:val="0"/>
          <w:i w:val="0"/>
          <w:sz w:val="20"/>
        </w:rPr>
        <w:t>0.34</w:t>
      </w:r>
      <w:r>
        <w:rPr>
          <w:rFonts w:ascii="Times New Roman" w:hAnsi="Times New Roman"/>
          <w:b w:val="0"/>
          <w:i w:val="0"/>
          <w:sz w:val="20"/>
        </w:rPr>
        <w:t xml:space="preserve"> for the operational HC+MC alarm). The framework surfaces pronounced firm-level heterogeneity: Firm A's per-document HC+MC ICCR is </w:t>
      </w:r>
      <w:r>
        <w:rPr>
          <w:rFonts w:ascii="Times New Roman" w:hAnsi="Times New Roman"/>
          <w:b w:val="0"/>
          <w:i w:val="0"/>
          <w:sz w:val="20"/>
        </w:rPr>
        <w:t>0.62</w:t>
      </w:r>
      <w:r>
        <w:rPr>
          <w:rFonts w:ascii="Times New Roman" w:hAnsi="Times New Roman"/>
          <w:b w:val="0"/>
          <w:i w:val="0"/>
          <w:sz w:val="20"/>
        </w:rPr>
        <w:t xml:space="preserve"> versus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at Firms B/C/D (gap persists after pool-size adjustment), and </w:t>
      </w:r>
      <w:r>
        <w:rPr>
          <w:rFonts w:ascii="Times New Roman" w:hAnsi="Times New Roman"/>
          <w:b w:val="0"/>
          <w:i w:val="0"/>
          <w:sz w:val="20"/>
        </w:rPr>
        <w:t>77</w:t>
      </w:r>
      <w:r>
        <w:rPr>
          <w:rFonts w:ascii="Times New Roman" w:hAnsi="Times New Roman"/>
          <w:b w:val="0"/>
          <w:i w:val="0"/>
          <w:sz w:val="20"/>
        </w:rPr>
        <w:t>–</w:t>
      </w:r>
      <w:r>
        <w:rPr>
          <w:rFonts w:ascii="Times New Roman" w:hAnsi="Times New Roman"/>
          <w:b w:val="0"/>
          <w:i w:val="0"/>
          <w:sz w:val="20"/>
        </w:rPr>
        <w:t>99%</w:t>
      </w:r>
      <w:r>
        <w:rPr>
          <w:rFonts w:ascii="Times New Roman" w:hAnsi="Times New Roman"/>
          <w:b w:val="0"/>
          <w:i w:val="0"/>
          <w:sz w:val="20"/>
        </w:rPr>
        <w:t xml:space="preserve"> of inter-CPA collisions concentrate within the source firm. This contrast is consistent with firm-level template-like reuse but not independently diagnostic, since descriptor-only data cannot separate reuse from digitisation-pipeline or signing-style homogeneity within a firm; we report it as a scope limitation rather than a mechanism finding. We position the system as a specificity-proxy-anchored screening framework with human-in-the-loop review, not as a validated forensic detector; no calibrated error rates are reportable without signature-level ground truth.</w:t>
      </w:r>
    </w:p>
    <w:p>
      <w:pPr>
        <w:pStyle w:val="Heading1"/>
      </w:pPr>
      <w:r>
        <w:rPr>
          <w:color w:val="000000"/>
        </w:rPr>
        <w:t>I. Introduction</w:t>
      </w:r>
    </w:p>
    <w:p>
      <w:pPr>
        <w:spacing w:after="120"/>
      </w:pPr>
      <w:r>
        <w:rPr>
          <w:rFonts w:ascii="Times New Roman" w:hAnsi="Times New Roman"/>
          <w:b w:val="0"/>
          <w:i w:val="0"/>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certifying CPAs to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b w:val="0"/>
          <w:i w:val="0"/>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 — in which scanned signature images are affixed by staff as part of the report-assembly process — or through a firm-level electronic signing system that automates the same step.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and is visually invisible to report users at scale.</w:t>
      </w:r>
    </w:p>
    <w:p>
      <w:pPr>
        <w:spacing w:after="120"/>
      </w:pPr>
      <w:r>
        <w:rPr>
          <w:rFonts w:ascii="Times New Roman" w:hAnsi="Times New Roman"/>
          <w:b w:val="0"/>
          <w:i w:val="0"/>
          <w:sz w:val="20"/>
        </w:rPr>
        <w:t>The distinction between non-hand-signing detection and signature forgery detection is conceptually and technically important. The extensive body of research on offline signature verification [3]–[8] focuses almost exclusively on forgery detection — determining whether a questioned signature was produced by its purported author.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w:t>
      </w:r>
    </w:p>
    <w:p>
      <w:pPr>
        <w:spacing w:after="120"/>
      </w:pPr>
      <w:r>
        <w:rPr>
          <w:rFonts w:ascii="Times New Roman" w:hAnsi="Times New Roman"/>
          <w:b w:val="0"/>
          <w:i w:val="0"/>
          <w:sz w:val="20"/>
        </w:rPr>
        <w:t>A methodological concern shapes the research design. Many prior similarity-based classification studies rely on ad-hoc thresholds — declaring two images equivalent above a hand-picked cosine cutoff, for example — without principled statistical justification. Such thresholds are fragile in an archival-data setting. A defensible approach requires (i) explicit calibration of the operational thresholds against measurable negative-anchor evidence; (ii) diagnostic procedures that test whether the descriptor distribution itself supports a within-population threshold, including formal decomposition of apparent multimodality into between-group composition and integer-tie artefacts; (iii) annotation-free reporting of operational alarm rates at multiple analysis units (per-comparison, per-signature pool, per-document) with Wilson 95% confidence intervals; (iv) per-firm stratification of the reported rates to surface heterogeneity that aggregate metrics conceal; and (v) explicit disclosure of the unsupervised setting's limits — in particular, the inability to estimate true error rates without signature-level ground-truth labels.</w:t>
      </w:r>
    </w:p>
    <w:p>
      <w:pPr>
        <w:spacing w:after="120"/>
      </w:pPr>
      <w:r>
        <w:rPr>
          <w:rFonts w:ascii="Times New Roman" w:hAnsi="Times New Roman"/>
          <w:b w:val="0"/>
          <w:i w:val="0"/>
          <w:sz w:val="20"/>
        </w:rPr>
        <w:t>Despite the significance of the problem for audit quality and regulatory oversight, to our knowledge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rather than detecting image reuse. Copy-move forgery detection methods [10], [11] address duplicated regions within or across images but are designed for natural images and do not account for the specific characteristics of scanned document signatures.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 — the Hartigan dip test [37] and finite mixture modelling via the EM algorithm [40], [41], complemented by a Burgstahler-Dichev / McCrary density-smoothness diagnostic [38], [39] — have been developed in statistics and accounting-econometrics but have not been combined as a joint diagnostic toolkit for document-forensics threshold characterisation.</w:t>
      </w:r>
    </w:p>
    <w:p>
      <w:pPr>
        <w:spacing w:after="120"/>
      </w:pPr>
      <w:r>
        <w:rPr>
          <w:rFonts w:ascii="Times New Roman" w:hAnsi="Times New Roman"/>
          <w:b w:val="0"/>
          <w:i w:val="0"/>
          <w:sz w:val="20"/>
        </w:rPr>
        <w:t>In this paper we present a fully automated, end-to-end pipeline for screening non-hand-signed CPA signatures in audit reports at scale, together with an anchor-calibrated screening framework that characterises the pipeline's operational behaviour under explicit unsupervised assumptions. The pipeline processes raw PDF documents through (1) signature page identification with a Vision-Language Model; (2) signature region detection with a trained YOLOv11 object detector; (3) deep feature extraction via a pre-trained ResNet-50; (4) dual-descriptor similarity (cosine + independent-minimum dHash); (5) anchor-based threshold calibration at three units of analysis (per-comparison, pool-normalised per-signature, per-document) against an inter-CPA negative-anchor coincidence-rate proxy (§III-L); (6) firm-stratified per-rule reporting and a within-firm cross-CPA hit-matrix analysis (§III-L.4); (7) a composition decomposition that establishes the absence of a within-population bimodal antimode in the descriptor distributions (§III-I.4); and (8) disclosure of each diagnostic's untested assumption (§III-M).</w:t>
      </w:r>
    </w:p>
    <w:p>
      <w:pPr>
        <w:spacing w:after="120"/>
      </w:pPr>
      <w:r>
        <w:rPr>
          <w:rFonts w:ascii="Times New Roman" w:hAnsi="Times New Roman"/>
          <w:b w:val="0"/>
          <w:i w:val="0"/>
          <w:sz w:val="20"/>
        </w:rPr>
        <w:t xml:space="preserve">A key empirical finding is that the descriptor distributions do not support a within-population natural threshold. The apparent multimodality in the Big-4 accountant-level distribution is explained by between-firm location-shift effects (Firm A's mean dHash of </w:t>
      </w:r>
      <w:r>
        <w:rPr>
          <w:rFonts w:ascii="Times New Roman" w:hAnsi="Times New Roman"/>
          <w:b w:val="0"/>
          <w:i w:val="0"/>
          <w:sz w:val="20"/>
        </w:rPr>
        <w:t>2.73</w:t>
      </w:r>
      <w:r>
        <w:rPr>
          <w:rFonts w:ascii="Times New Roman" w:hAnsi="Times New Roman"/>
          <w:b w:val="0"/>
          <w:i w:val="0"/>
          <w:sz w:val="20"/>
        </w:rPr>
        <w:t xml:space="preserve"> versus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and integer mass-point artefacts on the integer-valued dHash axis. After joint firm-mean centring and uniform integer-tie jitter, the pooled dHash dip-test rejection disappears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xml:space="preserve"> across five seeds). Within-firm diagnostics in every Big-4 firm fail to reveal stable bimodal structure after accounting for integer ties; eligible non-Big-4 firms provide corroborating raw-axis evidence on the cosine dimension (§III-I.4). We therefore treat mixture fits as descriptive summaries of firm-compositional structure rather than threshold-generating mechanisms, and calibrate the deployed operating rules using inter-CPA coincidence-rate anchors.</w:t>
      </w:r>
    </w:p>
    <w:p>
      <w:pPr>
        <w:spacing w:after="120"/>
      </w:pPr>
      <w:r>
        <w:rPr>
          <w:rFonts w:ascii="Times New Roman" w:hAnsi="Times New Roman"/>
          <w:b w:val="0"/>
          <w:i w:val="0"/>
          <w:sz w:val="20"/>
        </w:rPr>
        <w:t>In place of distributional anchoring, we adopt an anchor-based inter-CPA coincidence-rate (ICCR) calibration. At the per-comparison unit, the cos</w:t>
      </w:r>
      <w:r>
        <w:rPr>
          <w:rFonts w:ascii="Times New Roman" w:hAnsi="Times New Roman"/>
          <w:b w:val="0"/>
          <w:i w:val="0"/>
          <w:sz w:val="20"/>
        </w:rPr>
        <w:t>&gt;0.95</w:t>
      </w:r>
      <w:r>
        <w:rPr>
          <w:rFonts w:ascii="Times New Roman" w:hAnsi="Times New Roman"/>
          <w:b w:val="0"/>
          <w:i w:val="0"/>
          <w:sz w:val="20"/>
        </w:rPr>
        <w:t xml:space="preserve"> operating point yields ICCR </w:t>
      </w:r>
      <w:r>
        <w:rPr>
          <w:rFonts w:ascii="Times New Roman" w:hAnsi="Times New Roman"/>
          <w:b w:val="0"/>
          <w:i w:val="0"/>
          <w:sz w:val="20"/>
        </w:rPr>
        <w:t>= 0.00060</w:t>
      </w:r>
      <w:r>
        <w:rPr>
          <w:rFonts w:ascii="Times New Roman" w:hAnsi="Times New Roman"/>
          <w:b w:val="0"/>
          <w:i w:val="0"/>
          <w:sz w:val="20"/>
        </w:rPr>
        <w:t xml:space="preserve"> on a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-pair Big-4 sample; the dHash</w:t>
      </w:r>
      <w:r>
        <w:rPr>
          <w:rFonts w:ascii="Times New Roman" w:hAnsi="Times New Roman"/>
          <w:b w:val="0"/>
          <w:i w:val="0"/>
          <w:sz w:val="20"/>
        </w:rPr>
        <w:t>≤ 5</w:t>
      </w:r>
      <w:r>
        <w:rPr>
          <w:rFonts w:ascii="Times New Roman" w:hAnsi="Times New Roman"/>
          <w:b w:val="0"/>
          <w:i w:val="0"/>
          <w:sz w:val="20"/>
        </w:rPr>
        <w:t xml:space="preserve"> structural cutoff yields ICCR </w:t>
      </w:r>
      <w:r>
        <w:rPr>
          <w:rFonts w:ascii="Times New Roman" w:hAnsi="Times New Roman"/>
          <w:b w:val="0"/>
          <w:i w:val="0"/>
          <w:sz w:val="20"/>
        </w:rPr>
        <w:t>= 0.00129</w:t>
      </w:r>
      <w:r>
        <w:rPr>
          <w:rFonts w:ascii="Times New Roman" w:hAnsi="Times New Roman"/>
          <w:b w:val="0"/>
          <w:i w:val="0"/>
          <w:sz w:val="20"/>
        </w:rPr>
        <w:t>; the joint rule cos</w:t>
      </w:r>
      <w:r>
        <w:rPr>
          <w:rFonts w:ascii="Times New Roman" w:hAnsi="Times New Roman"/>
          <w:b w:val="0"/>
          <w:i w:val="0"/>
          <w:sz w:val="20"/>
        </w:rPr>
        <w:t>&gt;0.95</w:t>
      </w:r>
      <w:r>
        <w:rPr>
          <w:rFonts w:ascii="Times New Roman" w:hAnsi="Times New Roman"/>
          <w:b w:val="0"/>
          <w:i w:val="0"/>
          <w:sz w:val="20"/>
        </w:rPr>
        <w:t xml:space="preserve"> AND dHash</w:t>
      </w:r>
      <w:r>
        <w:rPr>
          <w:rFonts w:ascii="Times New Roman" w:hAnsi="Times New Roman"/>
          <w:b w:val="0"/>
          <w:i w:val="0"/>
          <w:sz w:val="20"/>
        </w:rPr>
        <w:t>≤ 5</w:t>
      </w:r>
      <w:r>
        <w:rPr>
          <w:rFonts w:ascii="Times New Roman" w:hAnsi="Times New Roman"/>
          <w:b w:val="0"/>
          <w:i w:val="0"/>
          <w:sz w:val="20"/>
        </w:rPr>
        <w:t xml:space="preserve"> yields joint ICCR </w:t>
      </w:r>
      <w:r>
        <w:rPr>
          <w:rFonts w:ascii="Times New Roman" w:hAnsi="Times New Roman"/>
          <w:b w:val="0"/>
          <w:i w:val="0"/>
          <w:sz w:val="20"/>
        </w:rPr>
        <w:t>= 0.00014</w:t>
      </w:r>
      <w:r>
        <w:rPr>
          <w:rFonts w:ascii="Times New Roman" w:hAnsi="Times New Roman"/>
          <w:b w:val="0"/>
          <w:i w:val="0"/>
          <w:sz w:val="20"/>
        </w:rPr>
        <w:t xml:space="preserve"> (any-pair semantics, matching the deployed extrema rule). At the pool-normalised per-signature unit, the same rule's effective coincidence rate is materially higher because the deployed classifier takes max-cosine and min-dHash over a same-CPA pool: pooled Big-4 any-pair ICCR is </w:t>
      </w:r>
      <w:r>
        <w:rPr>
          <w:rFonts w:ascii="Times New Roman" w:hAnsi="Times New Roman"/>
          <w:b w:val="0"/>
          <w:i w:val="0"/>
          <w:sz w:val="20"/>
        </w:rPr>
        <w:t>0.1102</w:t>
      </w:r>
      <w:r>
        <w:rPr>
          <w:rFonts w:ascii="Times New Roman" w:hAnsi="Times New Roman"/>
          <w:b w:val="0"/>
          <w:i w:val="0"/>
          <w:sz w:val="20"/>
        </w:rPr>
        <w:t xml:space="preserve"> (Wilson 95% CI </w:t>
      </w:r>
      <w:r>
        <w:rPr>
          <w:rFonts w:ascii="Times New Roman" w:hAnsi="Times New Roman"/>
          <w:b w:val="0"/>
          <w:i w:val="0"/>
          <w:sz w:val="20"/>
        </w:rPr>
        <w:t>[0.1086, 0.1118]</w:t>
      </w:r>
      <w:r>
        <w:rPr>
          <w:rFonts w:ascii="Times New Roman" w:hAnsi="Times New Roman"/>
          <w:b w:val="0"/>
          <w:i w:val="0"/>
          <w:sz w:val="20"/>
        </w:rPr>
        <w:t xml:space="preserve">; CPA-block bootstrap 95% </w:t>
      </w:r>
      <w:r>
        <w:rPr>
          <w:rFonts w:ascii="Times New Roman" w:hAnsi="Times New Roman"/>
          <w:b w:val="0"/>
          <w:i w:val="0"/>
          <w:sz w:val="20"/>
        </w:rPr>
        <w:t>[0.0908, 0.1330]</w:t>
      </w:r>
      <w:r>
        <w:rPr>
          <w:rFonts w:ascii="Times New Roman" w:hAnsi="Times New Roman"/>
          <w:b w:val="0"/>
          <w:i w:val="0"/>
          <w:sz w:val="20"/>
        </w:rPr>
        <w:t>). At the per-document unit, the operational HC</w:t>
      </w:r>
      <w:r>
        <w:rPr>
          <w:rFonts w:ascii="Times New Roman" w:hAnsi="Times New Roman"/>
          <w:b w:val="0"/>
          <w:i w:val="0"/>
          <w:sz w:val="20"/>
        </w:rPr>
        <w:t>+</w:t>
      </w:r>
      <w:r>
        <w:rPr>
          <w:rFonts w:ascii="Times New Roman" w:hAnsi="Times New Roman"/>
          <w:b w:val="0"/>
          <w:i w:val="0"/>
          <w:sz w:val="20"/>
        </w:rPr>
        <w:t xml:space="preserve">MC alarm fires on </w:t>
      </w:r>
      <w:r>
        <w:rPr>
          <w:rFonts w:ascii="Times New Roman" w:hAnsi="Times New Roman"/>
          <w:b w:val="0"/>
          <w:i w:val="0"/>
          <w:sz w:val="20"/>
        </w:rPr>
        <w:t>33.75%</w:t>
      </w:r>
      <w:r>
        <w:rPr>
          <w:rFonts w:ascii="Times New Roman" w:hAnsi="Times New Roman"/>
          <w:b w:val="0"/>
          <w:i w:val="0"/>
          <w:sz w:val="20"/>
        </w:rPr>
        <w:t xml:space="preserve"> of Big-4 documents under the inter-CPA candidate-pool counterfactual.</w:t>
      </w:r>
    </w:p>
    <w:p>
      <w:pPr>
        <w:spacing w:after="120"/>
      </w:pPr>
      <w:r>
        <w:rPr>
          <w:rFonts w:ascii="Times New Roman" w:hAnsi="Times New Roman"/>
          <w:b w:val="0"/>
          <w:i w:val="0"/>
          <w:sz w:val="20"/>
        </w:rPr>
        <w:t xml:space="preserve">The pooled per-signature and per-document rates conceal striking firm heterogeneity. A logistic regression of the per-signature hit indicator on firm dummies (Firm A reference) and centred log pool size yields odds ratios of </w:t>
      </w:r>
      <w:r>
        <w:rPr>
          <w:rFonts w:ascii="Times New Roman" w:hAnsi="Times New Roman"/>
          <w:b w:val="0"/>
          <w:i w:val="0"/>
          <w:sz w:val="20"/>
        </w:rPr>
        <w:t>0.053</w:t>
      </w:r>
      <w:r>
        <w:rPr>
          <w:rFonts w:ascii="Times New Roman" w:hAnsi="Times New Roman"/>
          <w:b w:val="0"/>
          <w:i w:val="0"/>
          <w:sz w:val="20"/>
        </w:rPr>
        <w:t xml:space="preserve"> (Firm B), </w:t>
      </w:r>
      <w:r>
        <w:rPr>
          <w:rFonts w:ascii="Times New Roman" w:hAnsi="Times New Roman"/>
          <w:b w:val="0"/>
          <w:i w:val="0"/>
          <w:sz w:val="20"/>
        </w:rPr>
        <w:t>0.010</w:t>
      </w:r>
      <w:r>
        <w:rPr>
          <w:rFonts w:ascii="Times New Roman" w:hAnsi="Times New Roman"/>
          <w:b w:val="0"/>
          <w:i w:val="0"/>
          <w:sz w:val="20"/>
        </w:rPr>
        <w:t xml:space="preserve"> (Firm C), and </w:t>
      </w:r>
      <w:r>
        <w:rPr>
          <w:rFonts w:ascii="Times New Roman" w:hAnsi="Times New Roman"/>
          <w:b w:val="0"/>
          <w:i w:val="0"/>
          <w:sz w:val="20"/>
        </w:rPr>
        <w:t>0.027</w:t>
      </w:r>
      <w:r>
        <w:rPr>
          <w:rFonts w:ascii="Times New Roman" w:hAnsi="Times New Roman"/>
          <w:b w:val="0"/>
          <w:i w:val="0"/>
          <w:sz w:val="20"/>
        </w:rPr>
        <w:t xml:space="preserve"> (Firm D) — Firms B/C/D are an order of magnitude below Firm A even after controlling for the pool-size confound. Cross-firm hit matrix analysis under the deployed any-pair rule shows within-firm collision concentrations of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(Table XXV;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pattern is consistent with firm-specific template, stamp, or document-production reuse mechanisms — though not by itself diagnostic of deliberate sharing. The deployed five-way box rule defines a reproducible screening classifier; the calibration contribution is to characterise its multi-level inter-CPA coincidence behaviour rather than to derive new thresholds. The high-confidence sub-rule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and moderate-confidence sub-rule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are explicit decision rules whose calibrated false-positive and false-negative error rates remain unknown in the absence of signature-level labels.</w:t>
      </w:r>
    </w:p>
    <w:p>
      <w:pPr>
        <w:spacing w:after="120"/>
      </w:pPr>
      <w:r>
        <w:rPr>
          <w:rFonts w:ascii="Times New Roman" w:hAnsi="Times New Roman"/>
          <w:b w:val="0"/>
          <w:i w:val="0"/>
          <w:sz w:val="20"/>
        </w:rPr>
        <w:t xml:space="preserve">Three feature-derived scores converge on the per-CPA descriptor-position ranking with Spearman </w:t>
      </w:r>
      <w:r>
        <w:rPr>
          <w:rFonts w:ascii="Times New Roman" w:hAnsi="Times New Roman"/>
          <w:b w:val="0"/>
          <w:i w:val="0"/>
          <w:sz w:val="20"/>
        </w:rPr>
        <w:t>ρ ≥ 0.879</w:t>
      </w:r>
      <w:r>
        <w:rPr>
          <w:rFonts w:ascii="Times New Roman" w:hAnsi="Times New Roman"/>
          <w:b w:val="0"/>
          <w:i w:val="0"/>
          <w:sz w:val="20"/>
        </w:rPr>
        <w:t xml:space="preserve">: the K=3 mixture posterior (a firm-compositional position score under §III-J's reading, not a mechanism cluster posterior), a reverse-anchor cosine percentile relative to a strictly-out-of-target non-Big-4 reference, and the box-rule less-replication-dominated rate. The three scores are deterministic functions of the same per-CPA descriptor pair, so the convergence is documented as internal consistency among feature-derived ranks rather than external validation. A conservative hard-positive subset for image replication is provided by 262 byte-identical signatures in the Big-4 subset (Firm A 145, Firm B 8, Firm C 107, Firm D 2), against which all three candidate checks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For the box rule this result is close to tautological at byte-identity; we discuss the conservative-subset caveat in §V-G.</w:t>
      </w:r>
    </w:p>
    <w:p>
      <w:pPr>
        <w:spacing w:after="120"/>
      </w:pPr>
      <w:r>
        <w:rPr>
          <w:rFonts w:ascii="Times New Roman" w:hAnsi="Times New Roman"/>
          <w:b w:val="0"/>
          <w:i w:val="0"/>
          <w:sz w:val="20"/>
        </w:rPr>
        <w:t>We apply this pipeline to 90,282 audit reports filed by publicly listed companies in Taiwan between 2013 and 2023, extracting and analyzing 182,328 individual CPA signatures from 758 unique accountants. The Big-4 sub-corpus comprises 437 CPAs and 150,442 signatures with both descriptors available.</w:t>
      </w:r>
    </w:p>
    <w:p>
      <w:pPr>
        <w:spacing w:after="120"/>
      </w:pPr>
      <w:r>
        <w:rPr>
          <w:rFonts w:ascii="Times New Roman" w:hAnsi="Times New Roman"/>
          <w:b w:val="0"/>
          <w:i w:val="0"/>
          <w:sz w:val="20"/>
        </w:rPr>
        <w:t>The contributions of this paper are:</w:t>
      </w:r>
    </w:p>
    <w:p>
      <w:pPr>
        <w:spacing w:after="80"/>
        <w:ind w:left="576" w:hanging="360"/>
      </w:pPr>
      <w:r>
        <w:rPr>
          <w:rFonts w:ascii="Times New Roman" w:hAnsi="Times New Roman"/>
          <w:b w:val="0"/>
          <w:i w:val="0"/>
          <w:sz w:val="20"/>
        </w:rPr>
        <w:t>1. Problem formulation. We define non-hand-signing detection as distinct from signature forgery detection and frame it as a detection problem on intra-signer similarity distributions.</w:t>
      </w:r>
    </w:p>
    <w:p>
      <w:pPr>
        <w:spacing w:after="80"/>
        <w:ind w:left="576" w:hanging="360"/>
      </w:pPr>
      <w:r>
        <w:rPr>
          <w:rFonts w:ascii="Times New Roman" w:hAnsi="Times New Roman"/>
          <w:b w:val="0"/>
          <w:i w:val="0"/>
          <w:sz w:val="20"/>
        </w:rPr>
        <w:t>2. End-to-end pipeline. We present a pipeline that processes raw PDF audit reports through VLM-based page identification, YOLO-based signature detection, ResNet-50 feature extraction, and dual-descriptor similarity computation, with automated inference and no manual intervention after initial training.</w:t>
      </w:r>
    </w:p>
    <w:p>
      <w:pPr>
        <w:spacing w:after="80"/>
        <w:ind w:left="576" w:hanging="360"/>
      </w:pPr>
      <w:r>
        <w:rPr>
          <w:rFonts w:ascii="Times New Roman" w:hAnsi="Times New Roman"/>
          <w:b w:val="0"/>
          <w:i w:val="0"/>
          <w:sz w:val="20"/>
        </w:rPr>
        <w:t>3. Dual-descriptor similarity. We demonstrate that combining deep-feature cosine similarity with independent-minimum dHash resolves the ambiguity between style consistency and image reproduction, and we support the backbone choice through a feature-backbone ablation.</w:t>
      </w:r>
    </w:p>
    <w:p>
      <w:pPr>
        <w:spacing w:after="80"/>
        <w:ind w:left="576" w:hanging="360"/>
      </w:pPr>
      <w:r>
        <w:rPr>
          <w:rFonts w:ascii="Times New Roman" w:hAnsi="Times New Roman"/>
          <w:b w:val="0"/>
          <w:i w:val="0"/>
          <w:sz w:val="20"/>
        </w:rPr>
        <w:t>4. Composition decomposition disproves the distributional-threshold path. We show via a 2×2 factorial diagnostic (firm-mean centring × integer-tie jitter) that the apparent multimodality of the Big-4 accountant-level descriptor distribution is fully attributable to between-firm location shifts and integer mass-point artefacts. The descriptor distributions contain no within-population bimodal antimode; a distributional "natural threshold" reading of the operating points is not empirically supported.</w:t>
      </w:r>
    </w:p>
    <w:p>
      <w:pPr>
        <w:spacing w:after="80"/>
        <w:ind w:left="576" w:hanging="360"/>
      </w:pPr>
      <w:r>
        <w:rPr>
          <w:rFonts w:ascii="Times New Roman" w:hAnsi="Times New Roman"/>
          <w:b w:val="0"/>
          <w:i w:val="0"/>
          <w:sz w:val="20"/>
        </w:rPr>
        <w:t>5. Anchor-based multi-level inter-CPA coincidence-rate calibration. We characterise the deployed five-way classifier at three units of analysis: per-comparison ICCR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0.0006</w:t>
      </w:r>
      <w:r>
        <w:rPr>
          <w:rFonts w:ascii="Times New Roman" w:hAnsi="Times New Roman"/>
          <w:b w:val="0"/>
          <w:i w:val="0"/>
          <w:sz w:val="20"/>
        </w:rPr>
        <w: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joint: </w:t>
      </w:r>
      <w:r>
        <w:rPr>
          <w:rFonts w:ascii="Times New Roman" w:hAnsi="Times New Roman"/>
          <w:b w:val="0"/>
          <w:i w:val="0"/>
          <w:sz w:val="20"/>
        </w:rPr>
        <w:t>0.00014</w:t>
      </w:r>
      <w:r>
        <w:rPr>
          <w:rFonts w:ascii="Times New Roman" w:hAnsi="Times New Roman"/>
          <w:b w:val="0"/>
          <w:i w:val="0"/>
          <w:sz w:val="20"/>
        </w:rPr>
        <w:t>), pool-normalised per-signature ICCR (</w:t>
      </w:r>
      <w:r>
        <w:rPr>
          <w:rFonts w:ascii="Times New Roman" w:hAnsi="Times New Roman"/>
          <w:b w:val="0"/>
          <w:i w:val="0"/>
          <w:sz w:val="20"/>
        </w:rPr>
        <w:t>0.11</w:t>
      </w:r>
      <w:r>
        <w:rPr>
          <w:rFonts w:ascii="Times New Roman" w:hAnsi="Times New Roman"/>
          <w:b w:val="0"/>
          <w:i w:val="0"/>
          <w:sz w:val="20"/>
        </w:rPr>
        <w:t xml:space="preserve"> for the deployed any-pair high-confidence rule), and per-document ICCR (</w:t>
      </w:r>
      <w:r>
        <w:rPr>
          <w:rFonts w:ascii="Times New Roman" w:hAnsi="Times New Roman"/>
          <w:b w:val="0"/>
          <w:i w:val="0"/>
          <w:sz w:val="20"/>
        </w:rPr>
        <w:t>0.34</w:t>
      </w:r>
      <w:r>
        <w:rPr>
          <w:rFonts w:ascii="Times New Roman" w:hAnsi="Times New Roman"/>
          <w:b w:val="0"/>
          <w:i w:val="0"/>
          <w:sz w:val="20"/>
        </w:rPr>
        <w:t xml:space="preserve"> for the operational HC</w:t>
      </w:r>
      <w:r>
        <w:rPr>
          <w:rFonts w:ascii="Times New Roman" w:hAnsi="Times New Roman"/>
          <w:b w:val="0"/>
          <w:i w:val="0"/>
          <w:sz w:val="20"/>
        </w:rPr>
        <w:t>+</w:t>
      </w:r>
      <w:r>
        <w:rPr>
          <w:rFonts w:ascii="Times New Roman" w:hAnsi="Times New Roman"/>
          <w:b w:val="0"/>
          <w:i w:val="0"/>
          <w:sz w:val="20"/>
        </w:rPr>
        <w:t>MC alarm). We adopt "inter-CPA coincidence rate" as the metric name throughout and reserve "False Acceptance Rate" for terminology that requires ground-truth negative labels, which the corpus does not provide.</w:t>
      </w:r>
    </w:p>
    <w:p>
      <w:pPr>
        <w:spacing w:after="80"/>
        <w:ind w:left="576" w:hanging="360"/>
      </w:pPr>
      <w:r>
        <w:rPr>
          <w:rFonts w:ascii="Times New Roman" w:hAnsi="Times New Roman"/>
          <w:b w:val="0"/>
          <w:i w:val="0"/>
          <w:sz w:val="20"/>
        </w:rPr>
        <w:t xml:space="preserve">6. Firm heterogeneity quantification and within-firm cross-CPA collision concentration. Per-document D2 inter-CPA proxy ICCRs differ by an order of magnitude across firms (Firm A: </w:t>
      </w:r>
      <w:r>
        <w:rPr>
          <w:rFonts w:ascii="Times New Roman" w:hAnsi="Times New Roman"/>
          <w:b w:val="0"/>
          <w:i w:val="0"/>
          <w:sz w:val="20"/>
        </w:rPr>
        <w:t>0.62</w:t>
      </w:r>
      <w:r>
        <w:rPr>
          <w:rFonts w:ascii="Times New Roman" w:hAnsi="Times New Roman"/>
          <w:b w:val="0"/>
          <w:i w:val="0"/>
          <w:sz w:val="20"/>
        </w:rPr>
        <w:t xml:space="preserve"> versus Firms B/C/D: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 per-signature logistic regression of the any-pair HC hit indicator on firm dummies and centred log pool size confirms the firm gap persists after pool-size control. Cross-firm hit matrix analysis shows within-firm collision concentrations of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under the deployed any-pair rule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pattern is consistent with firm-specific template, stamp, or document-production reuse mechanisms — a descriptive finding about deployed-rule behaviour, not a claim of deliberate template sharing.</w:t>
      </w:r>
    </w:p>
    <w:p>
      <w:pPr>
        <w:spacing w:after="80"/>
        <w:ind w:left="576" w:hanging="360"/>
      </w:pPr>
      <w:r>
        <w:rPr>
          <w:rFonts w:ascii="Times New Roman" w:hAnsi="Times New Roman"/>
          <w:b w:val="0"/>
          <w:i w:val="0"/>
          <w:sz w:val="20"/>
        </w:rPr>
        <w:t xml:space="preserve">7. K=3 as descriptive firm-compositional partition; three-score convergent internal consistency. We fit a K=3 Gaussian mixture as a descriptive partition of the Big-4 accountant-level distribution (interpreted as firm-compositional structure, not as three mechanism clusters). Three feature-derived scores agree on the per-CPA descriptor-position ranking at Spearman </w:t>
      </w:r>
      <w:r>
        <w:rPr>
          <w:rFonts w:ascii="Times New Roman" w:hAnsi="Times New Roman"/>
          <w:b w:val="0"/>
          <w:i w:val="0"/>
          <w:sz w:val="20"/>
        </w:rPr>
        <w:t>ρ ≥ 0.879</w:t>
      </w:r>
      <w:r>
        <w:rPr>
          <w:rFonts w:ascii="Times New Roman" w:hAnsi="Times New Roman"/>
          <w:b w:val="0"/>
          <w:i w:val="0"/>
          <w:sz w:val="20"/>
        </w:rPr>
        <w:t>; we report this as internal consistency rather than external validation, given that the scores share the underlying descriptor pair.</w:t>
      </w:r>
    </w:p>
    <w:p>
      <w:pPr>
        <w:spacing w:after="80"/>
        <w:ind w:left="576" w:hanging="360"/>
      </w:pPr>
      <w:r>
        <w:rPr>
          <w:rFonts w:ascii="Times New Roman" w:hAnsi="Times New Roman"/>
          <w:b w:val="0"/>
          <w:i w:val="0"/>
          <w:sz w:val="20"/>
        </w:rPr>
        <w:t xml:space="preserve">8. Annotation-free positive-anchor capture check and unsupervised-setting disclosure. We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on 262 byte-identical Big-4 signatures, with the conservative-subset caveat that byte-identical pairs are by construction near cos</w:t>
      </w:r>
      <w:r>
        <w:rPr>
          <w:rFonts w:ascii="Times New Roman" w:hAnsi="Times New Roman"/>
          <w:b w:val="0"/>
          <w:i w:val="0"/>
          <w:sz w:val="20"/>
        </w:rPr>
        <w:t>=1</w:t>
      </w:r>
      <w:r>
        <w:rPr>
          <w:rFonts w:ascii="Times New Roman" w:hAnsi="Times New Roman"/>
          <w:b w:val="0"/>
          <w:i w:val="0"/>
          <w:sz w:val="20"/>
        </w:rPr>
        <w:t xml:space="preserve"> and dHash</w:t>
      </w:r>
      <w:r>
        <w:rPr>
          <w:rFonts w:ascii="Times New Roman" w:hAnsi="Times New Roman"/>
          <w:b w:val="0"/>
          <w:i w:val="0"/>
          <w:sz w:val="20"/>
        </w:rPr>
        <w:t>=0</w:t>
      </w:r>
      <w:r>
        <w:rPr>
          <w:rFonts w:ascii="Times New Roman" w:hAnsi="Times New Roman"/>
          <w:b w:val="0"/>
          <w:i w:val="0"/>
          <w:sz w:val="20"/>
        </w:rPr>
        <w:t>. Each supporting diagnostic in §III-M addresses one specific failure mode of an unsupervised screening classifier — composition artefacts, inter-CPA coincidence, pool-size confounding, firm heterogeneity, threshold sensitivity, or positive-anchor capture — with an explicitly disclosed untested assumption. We do not claim a validated forensic detector; we position the system as a specificity-proxy-anchored screening framework with human-in-the-loop review.</w:t>
      </w:r>
    </w:p>
    <w:p>
      <w:pPr>
        <w:spacing w:after="120"/>
      </w:pPr>
      <w:r>
        <w:rPr>
          <w:rFonts w:ascii="Times New Roman" w:hAnsi="Times New Roman"/>
          <w:b w:val="0"/>
          <w:i w:val="0"/>
          <w:sz w:val="20"/>
        </w:rPr>
        <w:t>The remainder of the paper is organized as follows. Section II reviews related work on signature verification, document forensics, perceptual hashing, and the statistical methods used. Section III describes the proposed methodology. Section IV presents the experimental results — distributional characterisation, mixture fits, convergent internal-consistency checks, leave-one-firm-out reproducibility, pixel-identity positive-anchor check, and full-dataset robustness. Section V discusses the implications and limitations.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b w:val="0"/>
          <w:i w:val="0"/>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b w:val="0"/>
          <w:i w:val="0"/>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b w:val="0"/>
          <w:i w:val="0"/>
          <w:sz w:val="20"/>
        </w:rPr>
        <w:t>Brimoh and Olisah [8] are closest in spirit in using reference evidence to discipline threshold choice. Their setting, however, uses standard verification benchmarks with known genuine references, whereas our archival setting lacks signature-level labels and therefore characterises a fixed deployed screening rule through inter-CPA coincidence-rate anchors.</w:t>
      </w:r>
    </w:p>
    <w:p>
      <w:pPr>
        <w:pStyle w:val="Heading2"/>
      </w:pPr>
      <w:r>
        <w:rPr>
          <w:color w:val="000000"/>
        </w:rPr>
        <w:t>B. Document Forensics and Copy Detection</w:t>
      </w:r>
    </w:p>
    <w:p>
      <w:pPr>
        <w:spacing w:after="120"/>
      </w:pPr>
      <w:r>
        <w:rPr>
          <w:rFonts w:ascii="Times New Roman" w:hAnsi="Times New Roman"/>
          <w:b w:val="0"/>
          <w:i w:val="0"/>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b w:val="0"/>
          <w:i w:val="0"/>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b w:val="0"/>
          <w:i w:val="0"/>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b w:val="0"/>
          <w:i w:val="0"/>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b w:val="0"/>
          <w:i w:val="0"/>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b w:val="0"/>
          <w:i w:val="0"/>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b w:val="0"/>
          <w:i w:val="0"/>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b w:val="0"/>
          <w:i w:val="0"/>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Characterisation and Calibration</w:t>
      </w:r>
    </w:p>
    <w:p>
      <w:pPr>
        <w:spacing w:after="120"/>
      </w:pPr>
      <w:r>
        <w:rPr>
          <w:rFonts w:ascii="Times New Roman" w:hAnsi="Times New Roman"/>
          <w:b w:val="0"/>
          <w:i w:val="0"/>
          <w:sz w:val="20"/>
        </w:rPr>
        <w:t>Our threshold-characterisation and calibration framework combines three families of methods developed in statistics and accounting-econometrics.</w:t>
      </w:r>
    </w:p>
    <w:p>
      <w:pPr>
        <w:spacing w:after="120"/>
      </w:pPr>
      <w:r>
        <w:rPr>
          <w:rFonts w:ascii="Times New Roman" w:hAnsi="Times New Roman"/>
          <w:b w:val="0"/>
          <w:i w:val="0"/>
          <w:sz w:val="20"/>
        </w:rPr>
        <w:t>Non-parametric density estimation. Kernel density estimation [28] provides a smooth estimate of a similarity distribution without parametric assumptions. In idealized two-class mixture settings with equal priors and equal misclassification costs, the local density minimum (antimode) between the two modes coincides with the Bayes-optimal decision boundary.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b w:val="0"/>
          <w:i w:val="0"/>
          <w:sz w:val="20"/>
        </w:rPr>
        <w:t xml:space="preserve">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w:t>
      </w:r>
      <w:r>
        <w:rPr>
          <w:rFonts w:ascii="Times New Roman" w:hAnsi="Times New Roman"/>
          <w:b w:val="0"/>
          <w:i w:val="0"/>
          <w:sz w:val="20"/>
        </w:rPr>
        <w:t>N(0,1)</w:t>
      </w:r>
      <w:r>
        <w:rPr>
          <w:rFonts w:ascii="Times New Roman" w:hAnsi="Times New Roman"/>
          <w:b w:val="0"/>
          <w:i w:val="0"/>
          <w:sz w:val="20"/>
        </w:rPr>
        <w:t>.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b w:val="0"/>
          <w:i w:val="0"/>
          <w:sz w:val="20"/>
        </w:rPr>
        <w:t xml:space="preserve">Finite mixture models. When the empirical distribution is viewed as a weighted sum of two (or more) latent component distributions, the Expectation-Maximization algorithm [40] provides consistent maximum-likelihood estimates of the component parameters. For observations bounded on </w:t>
      </w:r>
      <w:r>
        <w:rPr>
          <w:rFonts w:ascii="Times New Roman" w:hAnsi="Times New Roman"/>
          <w:b w:val="0"/>
          <w:i w:val="0"/>
          <w:sz w:val="20"/>
        </w:rPr>
        <w:t>[0,1]</w:t>
      </w:r>
      <w:r>
        <w:rPr>
          <w:rFonts w:ascii="Times New Roman" w:hAnsi="Times New Roman"/>
          <w:b w:val="0"/>
          <w:i w:val="0"/>
          <w:sz w:val="20"/>
        </w:rPr>
        <w:t>—such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b w:val="0"/>
          <w:i w:val="0"/>
          <w:sz w:val="20"/>
        </w:rPr>
        <w:t>The present study uses these tools diagnostically: first to test whether the descriptor distribution supports a natural operating boundary, and then, when that support fails under composition decomposition, to motivate anchor-based ICCR calibration of a fixed deployed rule.</w:t>
      </w:r>
    </w:p>
    <w:p>
      <w:pPr>
        <w:spacing w:after="120"/>
      </w:pPr>
      <w:r>
        <w:rPr>
          <w:rFonts w:ascii="Times New Roman" w:hAnsi="Times New Roman"/>
          <w:b w:val="0"/>
          <w:i w:val="0"/>
          <w:sz w:val="20"/>
        </w:rPr>
        <w:t>Cross-validation in a small-cluster scope. Cross-validation methodology in the leave-one-out tradition has been developed extensively in statistics since Stone [42] and Geisser [43], and modern surveys including Vehtari et al. [44] discuss its application to mixture models. In document-forensics calibration the technique has been used selectively, typically with the individual document or signature as the hold-out unit. Our application in §III-K differs in two respects from the standard usage: (i) the hold-out unit is the firm (not the individual CPA or signature), so the analysis directly probes cross-firm reproducibility of the fitted mixture rather than within-firm sampling variance; and (ii) the held-out predictions are interpreted as a composition-sensitivity band on the candidate mixture boundary, not as a sufficiency claim for the deployed five-way operational classifier (§III-H.1; calibrated separately in §III-L). We treat LOOO drift as descriptive information about how the mixture characterisation moves when training composition changes, not as a pass/fail test for the operational classifier.</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b w:val="0"/>
          <w:i w:val="0"/>
          <w:sz w:val="20"/>
        </w:rPr>
        <w:t>We propose a six-stage pipeline for large-scale non-hand-signed auditor signature detection in scanned financial documents. Fig. 1 illustrates the overall architecture. The pipeline takes as input a corpus of PDF audit reports and produces five-way operational screening labels (§III-H.1) whose behaviour is characterised by pixel-identity positive-anchor capture checks and inter-CPA coincidence-rate calibration (§III-L).</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b w:val="0"/>
          <w:i w:val="0"/>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b w:val="0"/>
          <w:i w:val="0"/>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b w:val="0"/>
          <w:i w:val="0"/>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spacing w:after="120"/>
      </w:pPr>
      <w:r>
        <w:rPr>
          <w:rFonts w:ascii="Times New Roman" w:hAnsi="Times New Roman"/>
          <w:b w:val="0"/>
          <w:i w:val="0"/>
          <w:sz w:val="20"/>
        </w:rPr>
        <w:t>Table I. Dataset Summary.</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Attribute</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Total PDF documents</w:t>
            </w:r>
          </w:p>
        </w:tc>
        <w:tc>
          <w:tcPr>
            <w:tcW w:type="dxa" w:w="4320"/>
          </w:tcPr>
          <w:p>
            <w:pPr>
              <w:jc w:val="center"/>
            </w:pPr>
            <w:r/>
            <w:r>
              <w:rPr>
                <w:rFonts w:ascii="Times New Roman" w:hAnsi="Times New Roman"/>
                <w:b w:val="0"/>
                <w:i w:val="0"/>
                <w:sz w:val="16"/>
              </w:rPr>
              <w:t>90,282</w:t>
            </w:r>
          </w:p>
        </w:tc>
      </w:tr>
      <w:tr>
        <w:tc>
          <w:tcPr>
            <w:tcW w:type="dxa" w:w="4320"/>
          </w:tcPr>
          <w:p>
            <w:pPr>
              <w:jc w:val="center"/>
            </w:pPr>
            <w:r/>
            <w:r>
              <w:rPr>
                <w:rFonts w:ascii="Times New Roman" w:hAnsi="Times New Roman"/>
                <w:b w:val="0"/>
                <w:i w:val="0"/>
                <w:sz w:val="16"/>
              </w:rPr>
              <w:t>Date range</w:t>
            </w:r>
          </w:p>
        </w:tc>
        <w:tc>
          <w:tcPr>
            <w:tcW w:type="dxa" w:w="4320"/>
          </w:tcPr>
          <w:p>
            <w:pPr>
              <w:jc w:val="center"/>
            </w:pPr>
            <w:r/>
            <w:r>
              <w:rPr>
                <w:rFonts w:ascii="Times New Roman" w:hAnsi="Times New Roman"/>
                <w:b w:val="0"/>
                <w:i w:val="0"/>
                <w:sz w:val="16"/>
              </w:rPr>
              <w:t>2013–2023</w:t>
            </w:r>
          </w:p>
        </w:tc>
      </w:tr>
      <w:tr>
        <w:tc>
          <w:tcPr>
            <w:tcW w:type="dxa" w:w="4320"/>
          </w:tcPr>
          <w:p>
            <w:pPr>
              <w:jc w:val="center"/>
            </w:pPr>
            <w:r/>
            <w:r>
              <w:rPr>
                <w:rFonts w:ascii="Times New Roman" w:hAnsi="Times New Roman"/>
                <w:b w:val="0"/>
                <w:i w:val="0"/>
                <w:sz w:val="16"/>
              </w:rPr>
              <w:t>Signature-page candidates (VLM-positive)</w:t>
            </w:r>
          </w:p>
        </w:tc>
        <w:tc>
          <w:tcPr>
            <w:tcW w:type="dxa" w:w="4320"/>
          </w:tcPr>
          <w:p>
            <w:pPr>
              <w:jc w:val="center"/>
            </w:pPr>
            <w:r/>
            <w:r>
              <w:rPr>
                <w:rFonts w:ascii="Times New Roman" w:hAnsi="Times New Roman"/>
                <w:b w:val="0"/>
                <w:i w:val="0"/>
                <w:sz w:val="16"/>
              </w:rPr>
              <w:t>86,084 (95.3%)</w:t>
            </w:r>
          </w:p>
        </w:tc>
      </w:tr>
      <w:tr>
        <w:tc>
          <w:tcPr>
            <w:tcW w:type="dxa" w:w="4320"/>
          </w:tcPr>
          <w:p>
            <w:pPr>
              <w:jc w:val="center"/>
            </w:pPr>
            <w:r/>
            <w:r>
              <w:rPr>
                <w:rFonts w:ascii="Times New Roman" w:hAnsi="Times New Roman"/>
                <w:b w:val="0"/>
                <w:i w:val="0"/>
                <w:sz w:val="16"/>
              </w:rPr>
              <w:t>Processed for signature extraction</w:t>
            </w:r>
          </w:p>
        </w:tc>
        <w:tc>
          <w:tcPr>
            <w:tcW w:type="dxa" w:w="4320"/>
          </w:tcPr>
          <w:p>
            <w:pPr>
              <w:jc w:val="center"/>
            </w:pPr>
            <w:r/>
            <w:r>
              <w:rPr>
                <w:rFonts w:ascii="Times New Roman" w:hAnsi="Times New Roman"/>
                <w:b w:val="0"/>
                <w:i w:val="0"/>
                <w:sz w:val="16"/>
              </w:rPr>
              <w:t>86,071 (95.3%)</w:t>
            </w:r>
          </w:p>
        </w:tc>
      </w:tr>
      <w:tr>
        <w:tc>
          <w:tcPr>
            <w:tcW w:type="dxa" w:w="4320"/>
          </w:tcPr>
          <w:p>
            <w:pPr>
              <w:jc w:val="center"/>
            </w:pPr>
            <w:r/>
            <w:r>
              <w:rPr>
                <w:rFonts w:ascii="Times New Roman" w:hAnsi="Times New Roman"/>
                <w:b w:val="0"/>
                <w:i w:val="0"/>
                <w:sz w:val="16"/>
              </w:rPr>
              <w:t>Unique CPAs identified</w:t>
            </w:r>
          </w:p>
        </w:tc>
        <w:tc>
          <w:tcPr>
            <w:tcW w:type="dxa" w:w="4320"/>
          </w:tcPr>
          <w:p>
            <w:pPr>
              <w:jc w:val="center"/>
            </w:pPr>
            <w:r/>
            <w:r>
              <w:rPr>
                <w:rFonts w:ascii="Times New Roman" w:hAnsi="Times New Roman"/>
                <w:b w:val="0"/>
                <w:i w:val="0"/>
                <w:sz w:val="16"/>
              </w:rPr>
              <w:t>758</w:t>
            </w:r>
          </w:p>
        </w:tc>
      </w:tr>
      <w:tr>
        <w:tc>
          <w:tcPr>
            <w:tcW w:type="dxa" w:w="4320"/>
          </w:tcPr>
          <w:p>
            <w:pPr>
              <w:jc w:val="center"/>
            </w:pPr>
            <w:r/>
            <w:r>
              <w:rPr>
                <w:rFonts w:ascii="Times New Roman" w:hAnsi="Times New Roman"/>
                <w:b w:val="0"/>
                <w:i w:val="0"/>
                <w:sz w:val="16"/>
              </w:rPr>
              <w:t>Accounting firms</w:t>
            </w:r>
          </w:p>
        </w:tc>
        <w:tc>
          <w:tcPr>
            <w:tcW w:type="dxa" w:w="4320"/>
          </w:tcPr>
          <w:p>
            <w:pPr>
              <w:jc w:val="center"/>
            </w:pPr>
            <w:r/>
            <w:r>
              <w:rPr>
                <w:rFonts w:ascii="Times New Roman" w:hAnsi="Times New Roman"/>
                <w:b w:val="0"/>
                <w:i w:val="0"/>
                <w:sz w:val="16"/>
              </w:rPr>
              <w:t>&gt;50</w:t>
            </w:r>
          </w:p>
        </w:tc>
      </w:tr>
    </w:tbl>
    <w:p/>
    <w:p>
      <w:pPr>
        <w:pStyle w:val="Heading2"/>
      </w:pPr>
      <w:r>
        <w:rPr>
          <w:color w:val="000000"/>
        </w:rPr>
        <w:t>C. Signature Page Identification</w:t>
      </w:r>
    </w:p>
    <w:p>
      <w:pPr>
        <w:spacing w:after="120"/>
      </w:pPr>
      <w:r>
        <w:rPr>
          <w:rFonts w:ascii="Times New Roman" w:hAnsi="Times New Roman"/>
          <w:b w:val="0"/>
          <w:i w:val="0"/>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b w:val="0"/>
          <w:i w:val="0"/>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86,084 documents with signature pages; the remaining 4,198 documents (4.6%) were classified as having no signatures and excluded. An additional 13 PDFs that could not be rendered (corruption or read errors) were excluded, yielding a final set of 86,071 documents.</w:t>
      </w:r>
    </w:p>
    <w:p>
      <w:pPr>
        <w:spacing w:after="120"/>
      </w:pPr>
      <w:r>
        <w:rPr>
          <w:rFonts w:ascii="Times New Roman" w:hAnsi="Times New Roman"/>
          <w:b w:val="0"/>
          <w:i w:val="0"/>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b w:val="0"/>
          <w:i w:val="0"/>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b w:val="0"/>
          <w:i w:val="0"/>
          <w:sz w:val="20"/>
        </w:rPr>
        <w:t>The model was trained for 100 epochs on a 425/75 training/validation split with COCO pre-trained initialization, achieving strong detection performance (Table II).</w:t>
      </w:r>
    </w:p>
    <w:p>
      <w:pPr>
        <w:spacing w:after="120"/>
      </w:pPr>
      <w:r>
        <w:rPr>
          <w:rFonts w:ascii="Times New Roman" w:hAnsi="Times New Roman"/>
          <w:b w:val="0"/>
          <w:i w:val="0"/>
          <w:sz w:val="20"/>
        </w:rPr>
        <w:t>Table II. YOLO Detection Performance.</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Precision</w:t>
            </w:r>
          </w:p>
        </w:tc>
        <w:tc>
          <w:tcPr>
            <w:tcW w:type="dxa" w:w="4320"/>
          </w:tcPr>
          <w:p>
            <w:pPr>
              <w:jc w:val="center"/>
            </w:pPr>
            <w:r/>
            <w:r>
              <w:rPr>
                <w:rFonts w:ascii="Times New Roman" w:hAnsi="Times New Roman"/>
                <w:b w:val="0"/>
                <w:i w:val="0"/>
                <w:sz w:val="16"/>
              </w:rPr>
              <w:t>0.97–0.98</w:t>
            </w:r>
          </w:p>
        </w:tc>
      </w:tr>
      <w:tr>
        <w:tc>
          <w:tcPr>
            <w:tcW w:type="dxa" w:w="4320"/>
          </w:tcPr>
          <w:p>
            <w:pPr>
              <w:jc w:val="center"/>
            </w:pPr>
            <w:r/>
            <w:r>
              <w:rPr>
                <w:rFonts w:ascii="Times New Roman" w:hAnsi="Times New Roman"/>
                <w:b w:val="0"/>
                <w:i w:val="0"/>
                <w:sz w:val="16"/>
              </w:rPr>
              <w:t>Recall</w:t>
            </w:r>
          </w:p>
        </w:tc>
        <w:tc>
          <w:tcPr>
            <w:tcW w:type="dxa" w:w="4320"/>
          </w:tcPr>
          <w:p>
            <w:pPr>
              <w:jc w:val="center"/>
            </w:pPr>
            <w:r/>
            <w:r>
              <w:rPr>
                <w:rFonts w:ascii="Times New Roman" w:hAnsi="Times New Roman"/>
                <w:b w:val="0"/>
                <w:i w:val="0"/>
                <w:sz w:val="16"/>
              </w:rPr>
              <w:t>0.95–0.98</w:t>
            </w:r>
          </w:p>
        </w:tc>
      </w:tr>
      <w:tr>
        <w:tc>
          <w:tcPr>
            <w:tcW w:type="dxa" w:w="4320"/>
          </w:tcPr>
          <w:p>
            <w:pPr>
              <w:jc w:val="center"/>
            </w:pPr>
            <w:r/>
            <w:r>
              <w:rPr>
                <w:rFonts w:ascii="Times New Roman" w:hAnsi="Times New Roman"/>
                <w:b w:val="0"/>
                <w:i w:val="0"/>
                <w:sz w:val="16"/>
              </w:rPr>
              <w:t>mAP@0.50</w:t>
            </w:r>
          </w:p>
        </w:tc>
        <w:tc>
          <w:tcPr>
            <w:tcW w:type="dxa" w:w="4320"/>
          </w:tcPr>
          <w:p>
            <w:pPr>
              <w:jc w:val="center"/>
            </w:pPr>
            <w:r/>
            <w:r>
              <w:rPr>
                <w:rFonts w:ascii="Times New Roman" w:hAnsi="Times New Roman"/>
                <w:b w:val="0"/>
                <w:i w:val="0"/>
                <w:sz w:val="16"/>
              </w:rPr>
              <w:t>0.98–0.99</w:t>
            </w:r>
          </w:p>
        </w:tc>
      </w:tr>
      <w:tr>
        <w:tc>
          <w:tcPr>
            <w:tcW w:type="dxa" w:w="4320"/>
          </w:tcPr>
          <w:p>
            <w:pPr>
              <w:jc w:val="center"/>
            </w:pPr>
            <w:r/>
            <w:r>
              <w:rPr>
                <w:rFonts w:ascii="Times New Roman" w:hAnsi="Times New Roman"/>
                <w:b w:val="0"/>
                <w:i w:val="0"/>
                <w:sz w:val="16"/>
              </w:rPr>
              <w:t>mAP@0.50:0.95</w:t>
            </w:r>
          </w:p>
        </w:tc>
        <w:tc>
          <w:tcPr>
            <w:tcW w:type="dxa" w:w="4320"/>
          </w:tcPr>
          <w:p>
            <w:pPr>
              <w:jc w:val="center"/>
            </w:pPr>
            <w:r/>
            <w:r>
              <w:rPr>
                <w:rFonts w:ascii="Times New Roman" w:hAnsi="Times New Roman"/>
                <w:b w:val="0"/>
                <w:i w:val="0"/>
                <w:sz w:val="16"/>
              </w:rPr>
              <w:t>0.85–0.90</w:t>
            </w:r>
          </w:p>
        </w:tc>
      </w:tr>
    </w:tbl>
    <w:p/>
    <w:p>
      <w:pPr>
        <w:spacing w:after="120"/>
      </w:pPr>
      <w:r>
        <w:rPr>
          <w:rFonts w:ascii="Times New Roman" w:hAnsi="Times New Roman"/>
          <w:b w:val="0"/>
          <w:i w:val="0"/>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b w:val="0"/>
          <w:i w:val="0"/>
          <w:sz w:val="20"/>
        </w:rPr>
        <w:t>Each signature was matched to its corresponding CPA using positional order (first or second signature on the page) against the official CPA registry, achieving a 92.6% match rate (168,755 of 182,328 signatures). The matched records assume standard two-signature ordering; residual order-mismatch risk remains for nonstandard layouts.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forms the candidate pool for same-CPA analyses, before the Big-4 and descriptor-completeness restrictions described in §III-G.</w:t>
      </w:r>
    </w:p>
    <w:p>
      <w:pPr>
        <w:pStyle w:val="Heading2"/>
      </w:pPr>
      <w:r>
        <w:rPr>
          <w:color w:val="000000"/>
        </w:rPr>
        <w:t>E. Feature Extraction</w:t>
      </w:r>
    </w:p>
    <w:p>
      <w:pPr>
        <w:spacing w:after="120"/>
      </w:pPr>
      <w:r>
        <w:rPr>
          <w:rFonts w:ascii="Times New Roman" w:hAnsi="Times New Roman"/>
          <w:b w:val="0"/>
          <w:i w:val="0"/>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b w:val="0"/>
          <w:i w:val="0"/>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b w:val="0"/>
          <w:i w:val="0"/>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V-H, Engineering-level caveats). This design choice is supported by an ablation study (Section IV-L) comparing ResNet-50 against VGG-16 and EfficientNet-B0.</w:t>
      </w:r>
    </w:p>
    <w:p>
      <w:pPr>
        <w:pStyle w:val="Heading2"/>
      </w:pPr>
      <w:r>
        <w:rPr>
          <w:color w:val="000000"/>
        </w:rPr>
        <w:t>F. Dual-Method Similarity Descriptors</w:t>
      </w:r>
    </w:p>
    <w:p>
      <w:pPr>
        <w:spacing w:after="120"/>
      </w:pPr>
      <w:r>
        <w:rPr>
          <w:rFonts w:ascii="Times New Roman" w:hAnsi="Times New Roman"/>
          <w:b w:val="0"/>
          <w:i w:val="0"/>
          <w:sz w:val="20"/>
        </w:rPr>
        <w:t>For each signature, we compute two complementary similarity measures against other signatures attributed to the same CPA:</w:t>
      </w:r>
    </w:p>
    <w:p>
      <w:pPr>
        <w:spacing w:after="120"/>
      </w:pPr>
      <w:r>
        <w:rPr>
          <w:rFonts w:ascii="Times New Roman" w:hAnsi="Times New Roman"/>
          <w:b w:val="0"/>
          <w:i w:val="0"/>
          <w:sz w:val="20"/>
        </w:rPr>
        <w:t>Cosine similarity on deep embeddings captures high-level visual style:</w:t>
      </w:r>
    </w:p>
    <w:p>
      <w:pPr>
        <w:spacing w:before="120" w:after="120"/>
        <w:jc w:val="center"/>
      </w:pPr>
      <w:r>
        <w:drawing>
          <wp:inline xmlns:a="http://schemas.openxmlformats.org/drawingml/2006/main" xmlns:pic="http://schemas.openxmlformats.org/drawingml/2006/picture">
            <wp:extent cx="4114800" cy="673706"/>
            <wp:docPr id="2" name="Picture 2"/>
            <wp:cNvGraphicFramePr>
              <a:graphicFrameLocks noChangeAspect="1"/>
            </wp:cNvGraphicFramePr>
            <a:graphic>
              <a:graphicData uri="http://schemas.openxmlformats.org/drawingml/2006/picture">
                <pic:pic>
                  <pic:nvPicPr>
                    <pic:cNvPr id="0" name="eq_eab38aa6e9a4bd11.png"/>
                    <pic:cNvPicPr/>
                  </pic:nvPicPr>
                  <pic:blipFill>
                    <a:blip r:embed="rId10"/>
                    <a:stretch>
                      <a:fillRect/>
                    </a:stretch>
                  </pic:blipFill>
                  <pic:spPr>
                    <a:xfrm>
                      <a:off x="0" y="0"/>
                      <a:ext cx="4114800" cy="673706"/>
                    </a:xfrm>
                    <a:prstGeom prst="rect"/>
                  </pic:spPr>
                </pic:pic>
              </a:graphicData>
            </a:graphic>
          </wp:inline>
        </w:drawing>
      </w:r>
      <w:r>
        <w:rPr>
          <w:rFonts w:ascii="Times New Roman" w:hAnsi="Times New Roman"/>
          <w:sz w:val="20"/>
        </w:rPr>
        <w:tab/>
        <w:t>(1)</w:t>
      </w:r>
    </w:p>
    <w:p>
      <w:pPr>
        <w:spacing w:after="120"/>
      </w:pPr>
      <w:r>
        <w:rPr>
          <w:rFonts w:ascii="Times New Roman" w:hAnsi="Times New Roman"/>
          <w:b w:val="0"/>
          <w:i w:val="0"/>
          <w:sz w:val="20"/>
        </w:rPr>
        <w:t xml:space="preserve">where </w:t>
      </w:r>
      <w:r>
        <w:rPr>
          <w:rFonts w:ascii="Times New Roman" w:hAnsi="Times New Roman"/>
          <w:b w:val="0"/>
          <w:i w:val="0"/>
          <w:sz w:val="20"/>
        </w:rPr>
        <w:t>f</w:t>
      </w:r>
      <w:r>
        <w:rPr>
          <w:rFonts w:ascii="Times New Roman" w:hAnsi="Times New Roman"/>
          <w:b w:val="0"/>
          <w:i w:val="0"/>
          <w:sz w:val="20"/>
          <w:vertAlign w:val="subscript"/>
        </w:rPr>
        <w:t>A</w:t>
      </w:r>
      <w:r>
        <w:rPr>
          <w:rFonts w:ascii="Times New Roman" w:hAnsi="Times New Roman"/>
          <w:b w:val="0"/>
          <w:i w:val="0"/>
          <w:sz w:val="20"/>
        </w:rPr>
        <w:t xml:space="preserve"> and </w:t>
      </w:r>
      <w:r>
        <w:rPr>
          <w:rFonts w:ascii="Times New Roman" w:hAnsi="Times New Roman"/>
          <w:b w:val="0"/>
          <w:i w:val="0"/>
          <w:sz w:val="20"/>
        </w:rPr>
        <w:t>f</w:t>
      </w:r>
      <w:r>
        <w:rPr>
          <w:rFonts w:ascii="Times New Roman" w:hAnsi="Times New Roman"/>
          <w:b w:val="0"/>
          <w:i w:val="0"/>
          <w:sz w:val="20"/>
          <w:vertAlign w:val="subscript"/>
        </w:rPr>
        <w:t>B</w:t>
      </w:r>
      <w:r>
        <w:rPr>
          <w:rFonts w:ascii="Times New Roman" w:hAnsi="Times New Roman"/>
          <w:b w:val="0"/>
          <w:i w:val="0"/>
          <w:sz w:val="20"/>
        </w:rPr>
        <w:t xml:space="preserve">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b w:val="0"/>
          <w:i w:val="0"/>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b w:val="0"/>
          <w:i w:val="0"/>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is expected to yield extreme similarity under both descriptors, since the underlying image is identical up to reproduction noise; scan-stage noise can in principle push a replicated pair off either extremum but rarely both. Hand-signing, by contrast, often yields high dHash similarity (the overall layout of a signature is typically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b w:val="0"/>
          <w:i w:val="0"/>
          <w:sz w:val="20"/>
        </w:rPr>
        <w:t>We do not use SSIM (Structural Similarity Index) [30] or pixel-level comparison as primary descriptors. SSIM was developed as a perceptual quality index for natural images and is by construction sensitive to the local-luminance and local-contrast perturbations routine in a print-scan cycle (JPEG block artefacts, scan-noise speckle, scanner-rule ghosts) — properties that penalise identically-reproduced signature crops at the very margins SSIM is designed to weight most heavily. Pixel-level distances (</w:t>
      </w:r>
      <w:r>
        <w:rPr>
          <w:rFonts w:ascii="Times New Roman" w:hAnsi="Times New Roman"/>
          <w:b w:val="0"/>
          <w:i w:val="0"/>
          <w:sz w:val="20"/>
        </w:rPr>
        <w:t>L</w:t>
      </w:r>
      <w:r>
        <w:rPr>
          <w:rFonts w:ascii="Times New Roman" w:hAnsi="Times New Roman"/>
          <w:b w:val="0"/>
          <w:i w:val="0"/>
          <w:sz w:val="20"/>
          <w:vertAlign w:val="subscript"/>
        </w:rPr>
        <w:t>1</w:t>
      </w:r>
      <w:r>
        <w:rPr>
          <w:rFonts w:ascii="Times New Roman" w:hAnsi="Times New Roman"/>
          <w:b w:val="0"/>
          <w:i w:val="0"/>
          <w:sz w:val="20"/>
        </w:rPr>
        <w:t xml:space="preserve">, </w:t>
      </w:r>
      <w:r>
        <w:rPr>
          <w:rFonts w:ascii="Times New Roman" w:hAnsi="Times New Roman"/>
          <w:b w:val="0"/>
          <w:i w:val="0"/>
          <w:sz w:val="20"/>
        </w:rPr>
        <w:t>L</w:t>
      </w:r>
      <w:r>
        <w:rPr>
          <w:rFonts w:ascii="Times New Roman" w:hAnsi="Times New Roman"/>
          <w:b w:val="0"/>
          <w:i w:val="0"/>
          <w:sz w:val="20"/>
          <w:vertAlign w:val="subscript"/>
        </w:rPr>
        <w:t>2</w:t>
      </w:r>
      <w:r>
        <w:rPr>
          <w:rFonts w:ascii="Times New Roman" w:hAnsi="Times New Roman"/>
          <w:b w:val="0"/>
          <w:i w:val="0"/>
          <w:sz w:val="20"/>
        </w:rPr>
        <w:t>, pixel-identity counting) are defined on geometrically aligned images at a common resolution and inflate under the sub-pixel offsets that scanner DPI, paper-handling alignment, and PDF-page rasterisation routinely introduce, so two scans of the same physical document cannot score near-identically. The supplementary materials contain the full design-level argument; pixel-identity counting is retained only as a threshold-free positive anchor (§III-K), because byte-identical pairs are necessarily produced by literal file reuse and so do not interact with the alignment-fragility argument.</w:t>
      </w:r>
    </w:p>
    <w:p>
      <w:pPr>
        <w:spacing w:after="120"/>
      </w:pPr>
      <w:r>
        <w:rPr>
          <w:rFonts w:ascii="Times New Roman" w:hAnsi="Times New Roman"/>
          <w:b w:val="0"/>
          <w:i w:val="0"/>
          <w:sz w:val="20"/>
        </w:rPr>
        <w:t>Cosine similarity on L2-normalised deep embeddings and dHash both remain stable across the print-scan-rasterise cycle by design [14], [19], [21], [27]; together they constitute the dual descriptor used throughout the rest of this paper.</w:t>
      </w:r>
    </w:p>
    <w:p>
      <w:pPr>
        <w:pStyle w:val="Heading2"/>
      </w:pPr>
      <w:r>
        <w:rPr>
          <w:color w:val="000000"/>
        </w:rPr>
        <w:t>G. Unit of Analysis and Scope</w:t>
      </w:r>
    </w:p>
    <w:p>
      <w:pPr>
        <w:spacing w:after="120"/>
      </w:pPr>
      <w:r>
        <w:rPr>
          <w:rFonts w:ascii="Times New Roman" w:hAnsi="Times New Roman"/>
          <w:b w:val="0"/>
          <w:i w:val="0"/>
          <w:sz w:val="20"/>
        </w:rPr>
        <w:t xml:space="preserve">We analyse signatures at two units of resolution. The signature — one signature image extracted from one report — is the operational unit of classification (§III-H.1) and of the signature-level analyses in §IV (notably §IV-J for the five-way per-signature category counts and the inter-CPA negative-anchor coincidence-rate analysis referenced in §IV-I). The accountant — one CPA aggregated over all of their signatures in the corpus — is the unit of mixture-model characterisation (§III-J), of per-CPA internal-consistency analysis (§III-K), and of the leave-one-firm-out reproducibility check (§III-K). At the accountant level we compute, for each CPA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signatures, the per-CPA mean of the per-signature best-match cosine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and the per-CPA mean of the independent-minimum dHash (</w:t>
      </w:r>
      <w:r>
        <w:rPr>
          <w:rFonts w:ascii="Times New Roman" w:hAnsi="Times New Roman"/>
          <w:b w:val="0"/>
          <w:i w:val="0"/>
          <w:sz w:val="20"/>
        </w:rPr>
        <w:t>dHash</w:t>
      </w:r>
      <w:r>
        <w:rPr>
          <w:rFonts w:ascii="Times New Roman" w:hAnsi="Times New Roman"/>
          <w:b w:val="0"/>
          <w:i w:val="0"/>
          <w:sz w:val="20"/>
          <w:vertAlign w:val="subscript"/>
        </w:rPr>
        <w:t>a</w:t>
      </w:r>
      <w:r>
        <w:rPr>
          <w:rFonts w:ascii="Times New Roman" w:hAnsi="Times New Roman"/>
          <w:b w:val="0"/>
          <w:i w:val="0"/>
          <w:sz w:val="20"/>
        </w:rPr>
        <w:t>). The minimum threshold of 10 signatures per CPA is required for the per-CPA mean to be a stable summary; CPAs below this threshold are excluded from the accountant-level analyses but remain in the per-signature analyses.</w:t>
      </w:r>
    </w:p>
    <w:p>
      <w:pPr>
        <w:spacing w:after="120"/>
      </w:pPr>
      <w:r>
        <w:rPr>
          <w:rFonts w:ascii="Times New Roman" w:hAnsi="Times New Roman"/>
          <w:b w:val="0"/>
          <w:i w:val="0"/>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per-CPA mean is a summary statistic of their observed signatures, not a claim that all of their signatures share a single mechanism.</w:t>
      </w:r>
    </w:p>
    <w:p>
      <w:pPr>
        <w:spacing w:after="120"/>
      </w:pPr>
      <w:r>
        <w:rPr>
          <w:rFonts w:ascii="Times New Roman" w:hAnsi="Times New Roman"/>
          <w:b w:val="0"/>
          <w:i w:val="0"/>
          <w:sz w:val="20"/>
        </w:rPr>
        <w:t>We adopt one stipulation about same-CPA pair detectability:</w:t>
      </w:r>
    </w:p>
    <w:p>
      <w:pPr>
        <w:spacing w:after="120"/>
      </w:pPr>
      <w:r>
        <w:rPr>
          <w:rFonts w:ascii="Times New Roman" w:hAnsi="Times New Roman"/>
          <w:b w:val="0"/>
          <w:i w:val="0"/>
          <w:sz w:val="20"/>
        </w:rPr>
        <w:t>(A1) Pair-detectability. If a CPA uses image replication anywhere in the corpus, then at least one same-CPA signature pair is near-identical (after reproduction noise) within the cross-year same-CPA pool used by the max-cosine / min-dHash computation.</w:t>
      </w:r>
    </w:p>
    <w:p>
      <w:pPr>
        <w:spacing w:after="120"/>
      </w:pPr>
      <w:r>
        <w:rPr>
          <w:rFonts w:ascii="Times New Roman" w:hAnsi="Times New Roman"/>
          <w:b w:val="0"/>
          <w:i w:val="0"/>
          <w:sz w:val="20"/>
        </w:rPr>
        <w:t>A1 is plausible for high-volume stamping or firm-level electronic signing workflows but is not guaranteed when (i) the corpus contains only one observed replicated report for a CPA, (ii) multiple template variants are used in parallel, or (iii) scan-stage noise pushes a replicated pair outside the detection regime. A1 is the only assumption the per-signature detector requires to be sensitive to replication.</w:t>
      </w:r>
    </w:p>
    <w:p>
      <w:pPr>
        <w:spacing w:after="120"/>
      </w:pPr>
      <w:r>
        <w:rPr>
          <w:rFonts w:ascii="Times New Roman" w:hAnsi="Times New Roman"/>
          <w:b w:val="0"/>
          <w:i w:val="0"/>
          <w:sz w:val="20"/>
        </w:rPr>
        <w:t xml:space="preserve">Scope: the Big-4 sub-corpus. The primary analyses (§III-I, §III-J, §III-K, §III-L, and the corresponding §IV-D through §IV-J and §IV-M tables) are restricted to the four largest accounting firms in Taiwan, pseudonymously labelled Firm A through Firm D throughout the manuscript. §IV-A through §IV-C and §IV-L report the corpus-wide pipeline performance and feature-backbone ablation that support the descriptor choice of §III-F; §IV-K reports a deliberately narrow full-dataset cross-check at </w:t>
      </w:r>
      <w:r>
        <w:rPr>
          <w:rFonts w:ascii="Times New Roman" w:hAnsi="Times New Roman"/>
          <w:b w:val="0"/>
          <w:i w:val="0"/>
          <w:sz w:val="20"/>
        </w:rPr>
        <w:t>n = 686</w:t>
      </w:r>
      <w:r>
        <w:rPr>
          <w:rFonts w:ascii="Times New Roman" w:hAnsi="Times New Roman"/>
          <w:b w:val="0"/>
          <w:i w:val="0"/>
          <w:sz w:val="20"/>
        </w:rPr>
        <w:t xml:space="preserve"> CPAs. The Big-4 sub-corpus comprises 437 CPAs (171 / 112 / 102 / 52 across Firms A through D)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 the threshold for accountant-level analyses — totalling 150,442 Big-4 signatures with both pre-computed descriptors available. Restricting the primary analyses to Big-4 is a methodological choice driven by four considerations:</w:t>
      </w:r>
    </w:p>
    <w:p>
      <w:pPr>
        <w:spacing w:after="80"/>
        <w:ind w:left="576" w:hanging="360"/>
      </w:pPr>
      <w:r>
        <w:rPr>
          <w:rFonts w:ascii="Times New Roman" w:hAnsi="Times New Roman"/>
          <w:b w:val="0"/>
          <w:i w:val="0"/>
          <w:sz w:val="20"/>
        </w:rPr>
        <w:t>1. Restricted generalisability claim and Big-4 institutional comparability. The primary claims are scoped to the Big-4 audit-report context, where the four firms share comparable institutional scale, document-production infrastructure, and CPA-volume regime; we do not assert that the same descriptive mixture structure or operational alert behaviour extends to mid/small firms. The 249 non-Big-4 CPAs enter only (a) as an external reference population in §III-H.2's reverse-anchor internal-consistency check, (b) as a robustness comparison in §IV-K, and (c) as a corroborating-population check on the dHash discrete-mass-point artefact in §III-I.4. Generalisation beyond Big-4 is left as future work.</w:t>
      </w:r>
    </w:p>
    <w:p>
      <w:pPr>
        <w:spacing w:after="80"/>
        <w:ind w:left="576" w:hanging="360"/>
      </w:pPr>
      <w:r>
        <w:rPr>
          <w:rFonts w:ascii="Times New Roman" w:hAnsi="Times New Roman"/>
          <w:b w:val="0"/>
          <w:i w:val="0"/>
          <w:sz w:val="20"/>
        </w:rPr>
        <w:t>2. Within-firm cross-CPA collision structure analysis. §III-L.4 reports a Big-4 cross-firm hit-matrix analysis that quantifies the within-firm cross-CPA template-like collision pattern. The four-firm setting affords the cleanest signal for this analysis; replicating the same matrix structure on the heterogeneous mid/small-firm tail is left as future work.</w:t>
      </w:r>
    </w:p>
    <w:p>
      <w:pPr>
        <w:spacing w:after="80"/>
        <w:ind w:left="576" w:hanging="360"/>
      </w:pPr>
      <w:r>
        <w:rPr>
          <w:rFonts w:ascii="Times New Roman" w:hAnsi="Times New Roman"/>
          <w:b w:val="0"/>
          <w:i w:val="0"/>
          <w:sz w:val="20"/>
        </w:rPr>
        <w:t>3. Firm A as templated-end case study. Firm A is empirically the firm whose CPAs are most concentrated in the high-cosine, low-dHash corner of the descriptor plane (§III-J K=3 component cross-tab; byte-level pair analysis referenced in §III-H.2). We retain Firm A within the Big-4 scope as a descriptive case study of the templated end rather than as the calibration anchor for thresholds.</w:t>
      </w:r>
    </w:p>
    <w:p>
      <w:pPr>
        <w:spacing w:after="80"/>
        <w:ind w:left="576" w:hanging="360"/>
      </w:pPr>
      <w:r>
        <w:rPr>
          <w:rFonts w:ascii="Times New Roman" w:hAnsi="Times New Roman"/>
          <w:b w:val="0"/>
          <w:i w:val="0"/>
          <w:sz w:val="20"/>
        </w:rPr>
        <w:t xml:space="preserve">4. Leave-one-firm-out fold feasibility. §III-K reports leave-one-firm-out (LOOO) cross-validation of the Big-4 K=3 fit. The Big-4 sub-corpus permits a four-fold LOOO at the firm level (one fold per Big-4 firm). No analogous firm-level fold is available outside Big-4 because mid/small firms have CPA counts of </w:t>
      </w:r>
      <w:r>
        <w:rPr>
          <w:rFonts w:ascii="Times New Roman" w:hAnsi="Times New Roman"/>
          <w:b w:val="0"/>
          <w:i w:val="0"/>
          <w:sz w:val="20"/>
        </w:rPr>
        <w:t>O(1)</w:t>
      </w:r>
      <w:r>
        <w:rPr>
          <w:rFonts w:ascii="Times New Roman" w:hAnsi="Times New Roman"/>
          <w:b w:val="0"/>
          <w:i w:val="0"/>
          <w:sz w:val="20"/>
        </w:rPr>
        <w:t>–</w:t>
      </w:r>
      <w:r>
        <w:rPr>
          <w:rFonts w:ascii="Times New Roman" w:hAnsi="Times New Roman"/>
          <w:b w:val="0"/>
          <w:i w:val="0"/>
          <w:sz w:val="20"/>
        </w:rPr>
        <w:t>O(30)</w:t>
      </w:r>
      <w:r>
        <w:rPr>
          <w:rFonts w:ascii="Times New Roman" w:hAnsi="Times New Roman"/>
          <w:b w:val="0"/>
          <w:i w:val="0"/>
          <w:sz w:val="20"/>
        </w:rPr>
        <w:t xml:space="preserve"> per firm.</w:t>
      </w:r>
    </w:p>
    <w:p>
      <w:pPr>
        <w:spacing w:after="120"/>
      </w:pPr>
      <w:r>
        <w:rPr>
          <w:rFonts w:ascii="Times New Roman" w:hAnsi="Times New Roman"/>
          <w:b w:val="0"/>
          <w:i w:val="0"/>
          <w:sz w:val="20"/>
        </w:rPr>
        <w:t xml:space="preserve">Sample-size reconciliation. Two Big-4 signature counts appear in this section and §IV: </w:t>
      </w:r>
      <w:r>
        <w:rPr>
          <w:rFonts w:ascii="Times New Roman" w:hAnsi="Times New Roman"/>
          <w:b w:val="0"/>
          <w:i w:val="0"/>
          <w:sz w:val="20"/>
        </w:rPr>
        <w:t>n = 150,442</w:t>
      </w:r>
      <w:r>
        <w:rPr>
          <w:rFonts w:ascii="Times New Roman" w:hAnsi="Times New Roman"/>
          <w:b w:val="0"/>
          <w:i w:val="0"/>
          <w:sz w:val="20"/>
        </w:rPr>
        <w:t xml:space="preserve"> for analyses using the pre-computed per-signature descriptors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xml:space="preserve"> (max_similarity_to_same_accountant) and </w:t>
      </w:r>
      <w:r>
        <w:rPr>
          <w:rFonts w:ascii="Times New Roman" w:hAnsi="Times New Roman"/>
          <w:b w:val="0"/>
          <w:i w:val="0"/>
          <w:sz w:val="20"/>
        </w:rPr>
        <w:t>dHash</w:t>
      </w:r>
      <w:r>
        <w:rPr>
          <w:rFonts w:ascii="Times New Roman" w:hAnsi="Times New Roman"/>
          <w:b w:val="0"/>
          <w:i w:val="0"/>
          <w:sz w:val="20"/>
          <w:vertAlign w:val="subscript"/>
        </w:rPr>
        <w:t>s</w:t>
      </w:r>
      <w:r>
        <w:rPr>
          <w:rFonts w:ascii="Times New Roman" w:hAnsi="Times New Roman"/>
          <w:b w:val="0"/>
          <w:i w:val="0"/>
          <w:sz w:val="20"/>
        </w:rPr>
        <w:t xml:space="preserve"> (min_dhash_independent), and </w:t>
      </w:r>
      <w:r>
        <w:rPr>
          <w:rFonts w:ascii="Times New Roman" w:hAnsi="Times New Roman"/>
          <w:b w:val="0"/>
          <w:i w:val="0"/>
          <w:sz w:val="20"/>
        </w:rPr>
        <w:t>n = 150,453</w:t>
      </w:r>
      <w:r>
        <w:rPr>
          <w:rFonts w:ascii="Times New Roman" w:hAnsi="Times New Roman"/>
          <w:b w:val="0"/>
          <w:i w:val="0"/>
          <w:sz w:val="20"/>
        </w:rPr>
        <w:t xml:space="preserve"> for analyses recomputing pair-level metrics directly from the stored feature and dHash byte vectors (Scripts 40b, 43, 44). The </w:t>
      </w:r>
      <w:r>
        <w:rPr>
          <w:rFonts w:ascii="Times New Roman" w:hAnsi="Times New Roman"/>
          <w:b w:val="0"/>
          <w:i w:val="0"/>
          <w:sz w:val="20"/>
        </w:rPr>
        <w:t>11</w:t>
      </w:r>
      <w:r>
        <w:rPr>
          <w:rFonts w:ascii="Times New Roman" w:hAnsi="Times New Roman"/>
          <w:b w:val="0"/>
          <w:i w:val="0"/>
          <w:sz w:val="20"/>
        </w:rPr>
        <w:t xml:space="preserve">-signature difference reflects descriptor-completion status: </w:t>
      </w:r>
      <w:r>
        <w:rPr>
          <w:rFonts w:ascii="Times New Roman" w:hAnsi="Times New Roman"/>
          <w:b w:val="0"/>
          <w:i w:val="0"/>
          <w:sz w:val="20"/>
        </w:rPr>
        <w:t>11</w:t>
      </w:r>
      <w:r>
        <w:rPr>
          <w:rFonts w:ascii="Times New Roman" w:hAnsi="Times New Roman"/>
          <w:b w:val="0"/>
          <w:i w:val="0"/>
          <w:sz w:val="20"/>
        </w:rPr>
        <w:t xml:space="preserve"> signatures have feature vectors and dHash byte vectors stored but lack the pre-computed extrema. The </w:t>
      </w:r>
      <w:r>
        <w:rPr>
          <w:rFonts w:ascii="Times New Roman" w:hAnsi="Times New Roman"/>
          <w:b w:val="0"/>
          <w:i w:val="0"/>
          <w:sz w:val="20"/>
        </w:rPr>
        <w:t>11</w:t>
      </w:r>
      <w:r>
        <w:rPr>
          <w:rFonts w:ascii="Times New Roman" w:hAnsi="Times New Roman"/>
          <w:b w:val="0"/>
          <w:i w:val="0"/>
          <w:sz w:val="20"/>
        </w:rPr>
        <w:t xml:space="preserve"> signatures are negligible at population scale and do not affect any reported coincidence rate within </w:t>
      </w:r>
      <w:r>
        <w:rPr>
          <w:rFonts w:ascii="Times New Roman" w:hAnsi="Times New Roman"/>
          <w:b w:val="0"/>
          <w:i w:val="0"/>
          <w:sz w:val="20"/>
        </w:rPr>
        <w:t>0.01</w:t>
      </w:r>
      <w:r>
        <w:rPr>
          <w:rFonts w:ascii="Times New Roman" w:hAnsi="Times New Roman"/>
          <w:b w:val="0"/>
          <w:i w:val="0"/>
          <w:sz w:val="20"/>
        </w:rPr>
        <w:t xml:space="preserve"> percentage point. The CPA counts </w:t>
      </w:r>
      <w:r>
        <w:rPr>
          <w:rFonts w:ascii="Times New Roman" w:hAnsi="Times New Roman"/>
          <w:b w:val="0"/>
          <w:i w:val="0"/>
          <w:sz w:val="20"/>
        </w:rPr>
        <w:t>468</w:t>
      </w:r>
      <w:r>
        <w:rPr>
          <w:rFonts w:ascii="Times New Roman" w:hAnsi="Times New Roman"/>
          <w:b w:val="0"/>
          <w:i w:val="0"/>
          <w:sz w:val="20"/>
        </w:rPr>
        <w:t xml:space="preserve"> (all Big-4 CPAs with both vectors stored) and </w:t>
      </w:r>
      <w:r>
        <w:rPr>
          <w:rFonts w:ascii="Times New Roman" w:hAnsi="Times New Roman"/>
          <w:b w:val="0"/>
          <w:i w:val="0"/>
          <w:sz w:val="20"/>
        </w:rPr>
        <w:t>437</w:t>
      </w:r>
      <w:r>
        <w:rPr>
          <w:rFonts w:ascii="Times New Roman" w:hAnsi="Times New Roman"/>
          <w:b w:val="0"/>
          <w:i w:val="0"/>
          <w:sz w:val="20"/>
        </w:rPr>
        <w:t xml:space="preserve"> (Big-4 CPAs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for accountant-level stability) likewise reflect a single uniform exclusion rule rather than analysis-specific subsetting.</w:t>
      </w:r>
    </w:p>
    <w:p>
      <w:pPr>
        <w:pStyle w:val="Heading2"/>
      </w:pPr>
      <w:r>
        <w:rPr>
          <w:color w:val="000000"/>
        </w:rPr>
        <w:t>H. Operational Classifier and Reference Populations</w:t>
      </w:r>
    </w:p>
    <w:p>
      <w:pPr>
        <w:pStyle w:val="Heading3"/>
      </w:pPr>
      <w:r>
        <w:rPr>
          <w:color w:val="000000"/>
        </w:rPr>
        <w:t>H.1. Deployed Operational Rule</w:t>
      </w:r>
    </w:p>
    <w:p>
      <w:pPr>
        <w:spacing w:after="120"/>
      </w:pPr>
      <w:r>
        <w:rPr>
          <w:rFonts w:ascii="Times New Roman" w:hAnsi="Times New Roman"/>
          <w:b w:val="0"/>
          <w:i w:val="0"/>
          <w:sz w:val="20"/>
        </w:rPr>
        <w:t xml:space="preserve">Each Big-4 signature is assigned to one of five categories using the per-signature descriptor pair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dHash</w:t>
      </w:r>
      <w:r>
        <w:rPr>
          <w:rFonts w:ascii="Times New Roman" w:hAnsi="Times New Roman"/>
          <w:b w:val="0"/>
          <w:i w:val="0"/>
          <w:sz w:val="20"/>
          <w:vertAlign w:val="subscript"/>
        </w:rPr>
        <w:t>s</w:t>
      </w:r>
      <w:r>
        <w:rPr>
          <w:rFonts w:ascii="Times New Roman" w:hAnsi="Times New Roman"/>
          <w:b w:val="0"/>
          <w:i w:val="0"/>
          <w:sz w:val="20"/>
        </w:rPr>
        <w:t>)</w:t>
      </w:r>
      <w:r>
        <w:rPr>
          <w:rFonts w:ascii="Times New Roman" w:hAnsi="Times New Roman"/>
          <w:b w:val="0"/>
          <w:i w:val="0"/>
          <w:sz w:val="20"/>
        </w:rPr>
        <w:t xml:space="preserve"> where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xml:space="preserve"> is the maximum cosine similarity to another signature by the same CPA and </w:t>
      </w:r>
      <w:r>
        <w:rPr>
          <w:rFonts w:ascii="Times New Roman" w:hAnsi="Times New Roman"/>
          <w:b w:val="0"/>
          <w:i w:val="0"/>
          <w:sz w:val="20"/>
        </w:rPr>
        <w:t>dHash</w:t>
      </w:r>
      <w:r>
        <w:rPr>
          <w:rFonts w:ascii="Times New Roman" w:hAnsi="Times New Roman"/>
          <w:b w:val="0"/>
          <w:i w:val="0"/>
          <w:sz w:val="20"/>
          <w:vertAlign w:val="subscript"/>
        </w:rPr>
        <w:t>s</w:t>
      </w:r>
      <w:r>
        <w:rPr>
          <w:rFonts w:ascii="Times New Roman" w:hAnsi="Times New Roman"/>
          <w:b w:val="0"/>
          <w:i w:val="0"/>
          <w:sz w:val="20"/>
        </w:rPr>
        <w:t xml:space="preserve"> is the minimum independent dHash to another signature by the same CPA:</w:t>
      </w:r>
    </w:p>
    <w:p>
      <w:pPr>
        <w:spacing w:after="80"/>
        <w:ind w:left="576" w:hanging="360"/>
      </w:pPr>
      <w:r>
        <w:rPr>
          <w:rFonts w:ascii="Times New Roman" w:hAnsi="Times New Roman"/>
          <w:b w:val="0"/>
          <w:i w:val="0"/>
          <w:sz w:val="20"/>
        </w:rPr>
        <w:t xml:space="preserve">1. High-confidence non-hand-signed (HC):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indep</w:t>
      </w:r>
      <w:r>
        <w:rPr>
          <w:rFonts w:ascii="Times New Roman" w:hAnsi="Times New Roman"/>
          <w:b w:val="0"/>
          <w:i w:val="0"/>
          <w:sz w:val="20"/>
        </w:rPr>
        <w:t xml:space="preserve"> ≤ 5</w:t>
      </w:r>
      <w:r>
        <w:rPr>
          <w:rFonts w:ascii="Times New Roman" w:hAnsi="Times New Roman"/>
          <w:b w:val="0"/>
          <w:i w:val="0"/>
          <w:sz w:val="20"/>
        </w:rPr>
        <w:t>. Both descriptors converge on strong replication evidence.</w:t>
      </w:r>
    </w:p>
    <w:p>
      <w:pPr>
        <w:spacing w:after="80"/>
        <w:ind w:left="576" w:hanging="360"/>
      </w:pPr>
      <w:r>
        <w:rPr>
          <w:rFonts w:ascii="Times New Roman" w:hAnsi="Times New Roman"/>
          <w:b w:val="0"/>
          <w:i w:val="0"/>
          <w:sz w:val="20"/>
        </w:rPr>
        <w:t xml:space="preserve">2. Moderate-confidence non-hand-signed (MC):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w:t>
      </w:r>
      <w:r>
        <w:rPr>
          <w:rFonts w:ascii="Times New Roman" w:hAnsi="Times New Roman"/>
          <w:b w:val="0"/>
          <w:i w:val="0"/>
          <w:sz w:val="20"/>
          <w:vertAlign w:val="subscript"/>
        </w:rPr>
        <w:t>indep</w:t>
      </w:r>
      <w:r>
        <w:rPr>
          <w:rFonts w:ascii="Times New Roman" w:hAnsi="Times New Roman"/>
          <w:b w:val="0"/>
          <w:i w:val="0"/>
          <w:sz w:val="20"/>
        </w:rPr>
        <w:t xml:space="preserve"> ≤ 15</w:t>
      </w:r>
      <w:r>
        <w:rPr>
          <w:rFonts w:ascii="Times New Roman" w:hAnsi="Times New Roman"/>
          <w:b w:val="0"/>
          <w:i w:val="0"/>
          <w:sz w:val="20"/>
        </w:rPr>
        <w:t>. Feature-level evidence is strong; structural similarity is present but below the high-confidence cutoff.</w:t>
      </w:r>
    </w:p>
    <w:p>
      <w:pPr>
        <w:spacing w:after="80"/>
        <w:ind w:left="576" w:hanging="360"/>
      </w:pPr>
      <w:r>
        <w:rPr>
          <w:rFonts w:ascii="Times New Roman" w:hAnsi="Times New Roman"/>
          <w:b w:val="0"/>
          <w:i w:val="0"/>
          <w:sz w:val="20"/>
        </w:rPr>
        <w:t xml:space="preserve">3. High style consistency (HSC):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indep</w:t>
      </w:r>
      <w:r>
        <w:rPr>
          <w:rFonts w:ascii="Times New Roman" w:hAnsi="Times New Roman"/>
          <w:b w:val="0"/>
          <w:i w:val="0"/>
          <w:sz w:val="20"/>
        </w:rPr>
        <w:t xml:space="preserve"> &gt; 15</w:t>
      </w:r>
      <w:r>
        <w:rPr>
          <w:rFonts w:ascii="Times New Roman" w:hAnsi="Times New Roman"/>
          <w:b w:val="0"/>
          <w:i w:val="0"/>
          <w:sz w:val="20"/>
        </w:rPr>
        <w:t>. High feature-level similarity without structural corroboration — consistent with a CPA who signs very consistently but not via image reproduction.</w:t>
      </w:r>
    </w:p>
    <w:p>
      <w:pPr>
        <w:spacing w:after="80"/>
        <w:ind w:left="576" w:hanging="360"/>
      </w:pPr>
      <w:r>
        <w:rPr>
          <w:rFonts w:ascii="Times New Roman" w:hAnsi="Times New Roman"/>
          <w:b w:val="0"/>
          <w:i w:val="0"/>
          <w:sz w:val="20"/>
        </w:rPr>
        <w:t>4. Uncertain (UN): Cosine between the all-pairs intra/inter KDE crossover (</w:t>
      </w:r>
      <w:r>
        <w:rPr>
          <w:rFonts w:ascii="Times New Roman" w:hAnsi="Times New Roman"/>
          <w:b w:val="0"/>
          <w:i w:val="0"/>
          <w:sz w:val="20"/>
        </w:rPr>
        <w:t>0.837</w:t>
      </w:r>
      <w:r>
        <w:rPr>
          <w:rFonts w:ascii="Times New Roman" w:hAnsi="Times New Roman"/>
          <w:b w:val="0"/>
          <w:i w:val="0"/>
          <w:sz w:val="20"/>
        </w:rPr>
        <w:t xml:space="preserve">) and </w:t>
      </w:r>
      <w:r>
        <w:rPr>
          <w:rFonts w:ascii="Times New Roman" w:hAnsi="Times New Roman"/>
          <w:b w:val="0"/>
          <w:i w:val="0"/>
          <w:sz w:val="20"/>
        </w:rPr>
        <w:t>0.95</w:t>
      </w:r>
      <w:r>
        <w:rPr>
          <w:rFonts w:ascii="Times New Roman" w:hAnsi="Times New Roman"/>
          <w:b w:val="0"/>
          <w:i w:val="0"/>
          <w:sz w:val="20"/>
        </w:rPr>
        <w:t>.</w:t>
      </w:r>
    </w:p>
    <w:p>
      <w:pPr>
        <w:spacing w:after="80"/>
        <w:ind w:left="576" w:hanging="360"/>
      </w:pPr>
      <w:r>
        <w:rPr>
          <w:rFonts w:ascii="Times New Roman" w:hAnsi="Times New Roman"/>
          <w:b w:val="0"/>
          <w:i w:val="0"/>
          <w:sz w:val="20"/>
        </w:rPr>
        <w:t xml:space="preserve">5. Likely hand-signed (LH): Cosine </w:t>
      </w:r>
      <w:r>
        <w:rPr>
          <w:rFonts w:ascii="Times New Roman" w:hAnsi="Times New Roman"/>
          <w:b w:val="0"/>
          <w:i w:val="0"/>
          <w:sz w:val="20"/>
        </w:rPr>
        <w:t>≤ 0.837</w:t>
      </w:r>
      <w:r>
        <w:rPr>
          <w:rFonts w:ascii="Times New Roman" w:hAnsi="Times New Roman"/>
          <w:b w:val="0"/>
          <w:i w:val="0"/>
          <w:sz w:val="20"/>
        </w:rPr>
        <w:t>.</w:t>
      </w:r>
    </w:p>
    <w:p>
      <w:pPr>
        <w:spacing w:after="120"/>
      </w:pPr>
      <w:r>
        <w:rPr>
          <w:rFonts w:ascii="Times New Roman" w:hAnsi="Times New Roman"/>
          <w:b w:val="0"/>
          <w:i w:val="0"/>
          <w:sz w:val="20"/>
        </w:rPr>
        <w:t>Document-level labels are aggregated via the worst-case rule: each audit report inherits the most-replication-consistent category among its certifying-CPA signatures (rank order HC &gt; MC &gt; HSC &gt; UN &gt; LH). The thresholds (</w:t>
      </w:r>
      <w:r>
        <w:rPr>
          <w:rFonts w:ascii="Times New Roman" w:hAnsi="Times New Roman"/>
          <w:b w:val="0"/>
          <w:i w:val="0"/>
          <w:sz w:val="20"/>
        </w:rPr>
        <w:t>cos = 0.95</w:t>
      </w:r>
      <w:r>
        <w:rPr>
          <w:rFonts w:ascii="Times New Roman" w:hAnsi="Times New Roman"/>
          <w:b w:val="0"/>
          <w:i w:val="0"/>
          <w:sz w:val="20"/>
        </w:rPr>
        <w:t xml:space="preserve"> as the cosine operating point, </w:t>
      </w:r>
      <w:r>
        <w:rPr>
          <w:rFonts w:ascii="Times New Roman" w:hAnsi="Times New Roman"/>
          <w:b w:val="0"/>
          <w:i w:val="0"/>
          <w:sz w:val="20"/>
        </w:rPr>
        <w:t>cos = 0.837</w:t>
      </w:r>
      <w:r>
        <w:rPr>
          <w:rFonts w:ascii="Times New Roman" w:hAnsi="Times New Roman"/>
          <w:b w:val="0"/>
          <w:i w:val="0"/>
          <w:sz w:val="20"/>
        </w:rPr>
        <w:t xml:space="preserve"> as the all-pairs KDE crossover, </w:t>
      </w:r>
      <w:r>
        <w:rPr>
          <w:rFonts w:ascii="Times New Roman" w:hAnsi="Times New Roman"/>
          <w:b w:val="0"/>
          <w:i w:val="0"/>
          <w:sz w:val="20"/>
        </w:rPr>
        <w:t>dHash = 5</w:t>
      </w:r>
      <w:r>
        <w:rPr>
          <w:rFonts w:ascii="Times New Roman" w:hAnsi="Times New Roman"/>
          <w:b w:val="0"/>
          <w:i w:val="0"/>
          <w:sz w:val="20"/>
        </w:rPr>
        <w:t xml:space="preserve"> and </w:t>
      </w:r>
      <w:r>
        <w:rPr>
          <w:rFonts w:ascii="Times New Roman" w:hAnsi="Times New Roman"/>
          <w:b w:val="0"/>
          <w:i w:val="0"/>
          <w:sz w:val="20"/>
        </w:rPr>
        <w:t>15</w:t>
      </w:r>
      <w:r>
        <w:rPr>
          <w:rFonts w:ascii="Times New Roman" w:hAnsi="Times New Roman"/>
          <w:b w:val="0"/>
          <w:i w:val="0"/>
          <w:sz w:val="20"/>
        </w:rPr>
        <w:t xml:space="preserve"> as structural-similarity sub-band cutoffs) retain their prior calibration provenance (see supplementary materials). These thresholds define the deployed screening rule; the present analysis does not re-derive them as optimal cutoffs but characterises their behaviour under inter-CPA coincidence anchors (developed in §III-L).</w:t>
      </w:r>
    </w:p>
    <w:p>
      <w:pPr>
        <w:spacing w:after="120"/>
      </w:pPr>
      <w:r>
        <w:rPr>
          <w:rFonts w:ascii="Times New Roman" w:hAnsi="Times New Roman"/>
          <w:b w:val="0"/>
          <w:i w:val="0"/>
          <w:sz w:val="20"/>
        </w:rPr>
        <w:t>The remainder of this section (§III-H.2) describes the reference populations used to calibrate and cross-check this rule. §III-I demonstrates that the descriptor distributions do not provide a within-population natural threshold; §III-J–§III-K develop the descriptive partition and internal-consistency cross-checks; §III-L develops the anchor-based threshold calibration; §III-M discloses the unsupervised-setting limits.</w:t>
      </w:r>
    </w:p>
    <w:p>
      <w:pPr>
        <w:pStyle w:val="Heading3"/>
      </w:pPr>
      <w:r>
        <w:rPr>
          <w:color w:val="000000"/>
        </w:rPr>
        <w:t>H.2. Reference Populations</w:t>
      </w:r>
    </w:p>
    <w:p>
      <w:pPr>
        <w:spacing w:after="120"/>
      </w:pPr>
      <w:r>
        <w:rPr>
          <w:rFonts w:ascii="Times New Roman" w:hAnsi="Times New Roman"/>
          <w:b w:val="0"/>
          <w:i w:val="0"/>
          <w:sz w:val="20"/>
        </w:rPr>
        <w:t>The calibration distinguishes two reference populations: Firm A as a within-Big-4 templated-end case study, and the 249 non-Big-4 CPAs as an out-of-target reference for internal-consistency checking.</w:t>
      </w:r>
    </w:p>
    <w:p>
      <w:pPr>
        <w:spacing w:after="120"/>
      </w:pPr>
      <w:r>
        <w:rPr>
          <w:rFonts w:ascii="Times New Roman" w:hAnsi="Times New Roman"/>
          <w:b w:val="0"/>
          <w:i w:val="0"/>
          <w:sz w:val="20"/>
        </w:rPr>
        <w:t xml:space="preserve">Internal reference: Firm A as the templated-end case study. Firm A is empirically the firm whose CPAs are most concentrated in the high-cosine, low-dHash corner of the Big-4 descriptor plane. In the Big-4 K=3 descriptive partition (§III-J; Scripts 35, 38), Firm A accounts for 0% of the C1 component (low-cos / high-dHash corner; cos </w:t>
      </w:r>
      <w:r>
        <w:rPr>
          <w:rFonts w:ascii="Times New Roman" w:hAnsi="Times New Roman"/>
          <w:b w:val="0"/>
          <w:i w:val="0"/>
          <w:sz w:val="20"/>
        </w:rPr>
        <w:t>≈ 0.946</w:t>
      </w:r>
      <w:r>
        <w:rPr>
          <w:rFonts w:ascii="Times New Roman" w:hAnsi="Times New Roman"/>
          <w:b w:val="0"/>
          <w:i w:val="0"/>
          <w:sz w:val="20"/>
        </w:rPr>
        <w:t xml:space="preserve">, dHash </w:t>
      </w:r>
      <w:r>
        <w:rPr>
          <w:rFonts w:ascii="Times New Roman" w:hAnsi="Times New Roman"/>
          <w:b w:val="0"/>
          <w:i w:val="0"/>
          <w:sz w:val="20"/>
        </w:rPr>
        <w:t>≈ 9.17</w:t>
      </w:r>
      <w:r>
        <w:rPr>
          <w:rFonts w:ascii="Times New Roman" w:hAnsi="Times New Roman"/>
          <w:b w:val="0"/>
          <w:i w:val="0"/>
          <w:sz w:val="20"/>
        </w:rPr>
        <w:t xml:space="preserve">, weight </w:t>
      </w:r>
      <w:r>
        <w:rPr>
          <w:rFonts w:ascii="Times New Roman" w:hAnsi="Times New Roman"/>
          <w:b w:val="0"/>
          <w:i w:val="0"/>
          <w:sz w:val="20"/>
        </w:rPr>
        <w:t>≈ 0.143</w:t>
      </w:r>
      <w:r>
        <w:rPr>
          <w:rFonts w:ascii="Times New Roman" w:hAnsi="Times New Roman"/>
          <w:b w:val="0"/>
          <w:i w:val="0"/>
          <w:sz w:val="20"/>
        </w:rPr>
        <w:t>), 17.5% of the C2 component (central region), and 82.5% of the C3 component (high-cos / low-dHash corner); the opposite pattern holds at Firm C (Script 35: 23.5% C1, 75.5% C2, 1.0% C3, hereafter referred to as "the Firm whose CPAs are most concentrated in C1"). Byte-level decomposition of these signatures (see supplementary materials) identifies 145 Firm A pixel-identical signatures, spanning 50 distinct Firm A partners of the 180 registered, with 35 byte-identical matches occurring across different fiscal years; the 145 are the Firm A portion of the 262 byte-identical Big-4 signatures.</w:t>
      </w:r>
    </w:p>
    <w:p>
      <w:pPr>
        <w:spacing w:after="120"/>
      </w:pPr>
      <w:r>
        <w:rPr>
          <w:rFonts w:ascii="Times New Roman" w:hAnsi="Times New Roman"/>
          <w:b w:val="0"/>
          <w:i w:val="0"/>
          <w:sz w:val="20"/>
        </w:rPr>
        <w:t>Firm A is not the calibration anchor for the operational threshold. Firm A enters the Big-4 mixture on equal footing with Firms B through D; the K=3 components are derived from the joint Big-4 distribution (§III-J), not from Firm A alone. Firm A's role in the methodology is descriptive: it is the Big-4 firm whose CPAs are most concentrated in the high-cosine, low-dHash corner of the descriptor plane, and the byte-level pair evidence above provides the firm-level signature-reuse evidence that anchors §III-K's pixel-identity positive-anchor miss rate.</w:t>
      </w:r>
    </w:p>
    <w:p>
      <w:pPr>
        <w:spacing w:after="120"/>
      </w:pPr>
      <w:r>
        <w:rPr>
          <w:rFonts w:ascii="Times New Roman" w:hAnsi="Times New Roman"/>
          <w:b w:val="0"/>
          <w:i w:val="0"/>
          <w:sz w:val="20"/>
        </w:rPr>
        <w:t>External reference: non-Big-4 as the reverse-anchor reference for internal-consistency checking. The 249 non-Big-4 CPAs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drawn from </w:t>
      </w:r>
      <w:r>
        <w:rPr>
          <w:rFonts w:ascii="Times New Roman" w:hAnsi="Times New Roman"/>
          <w:b w:val="0"/>
          <w:i w:val="0"/>
          <w:sz w:val="20"/>
        </w:rPr>
        <w:t>~</w:t>
      </w:r>
      <w:r>
        <w:rPr>
          <w:rFonts w:ascii="Times New Roman" w:hAnsi="Times New Roman"/>
          <w:b w:val="0"/>
          <w:i w:val="0"/>
          <w:sz w:val="20"/>
        </w:rPr>
        <w:t xml:space="preserve">30 mid- and small-firms) constitute a population strictly outside the Big-4 target. Their per-CPA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distribution defines a 2D Gaussian reference (fit by Minimum Covariance Determinant with support fraction 0.85 for robustness; Script 38). This reference is used in §III-K's reverse-anchor internal-consistency check: each Big-4 CPA's location relative to the reference centre, measured as the marginal cosine cumulative-distribution-function value under the reference, is one of three feature-derived scores used as a cross-check on the per-signature classifier. The reverse-anchor reference is not a positive or negative anchor for threshold derivation — its role is to provide a strictly out-of-target benchmark against which the within-Big-4 mixture-derived ranking can be internally cross-checked.</w:t>
      </w:r>
    </w:p>
    <w:p>
      <w:pPr>
        <w:spacing w:after="120"/>
      </w:pPr>
      <w:r>
        <w:rPr>
          <w:rFonts w:ascii="Times New Roman" w:hAnsi="Times New Roman"/>
          <w:b w:val="0"/>
          <w:i w:val="0"/>
          <w:sz w:val="20"/>
        </w:rPr>
        <w:t xml:space="preserve">The reverse-anchor reference centre is at </w:t>
      </w:r>
      <w:r>
        <w:rPr>
          <w:rFonts w:ascii="Times New Roman" w:hAnsi="Times New Roman"/>
          <w:b w:val="0"/>
          <w:i w:val="0"/>
          <w:sz w:val="20"/>
        </w:rPr>
        <w:t>cos = 0.935</w:t>
      </w:r>
      <w:r>
        <w:rPr>
          <w:rFonts w:ascii="Times New Roman" w:hAnsi="Times New Roman"/>
          <w:b w:val="0"/>
          <w:i w:val="0"/>
          <w:sz w:val="20"/>
        </w:rPr>
        <w:t xml:space="preserve">, </w:t>
      </w:r>
      <w:r>
        <w:rPr>
          <w:rFonts w:ascii="Times New Roman" w:hAnsi="Times New Roman"/>
          <w:b w:val="0"/>
          <w:i w:val="0"/>
          <w:sz w:val="20"/>
        </w:rPr>
        <w:t>dHash = 9.77</w:t>
      </w:r>
      <w:r>
        <w:rPr>
          <w:rFonts w:ascii="Times New Roman" w:hAnsi="Times New Roman"/>
          <w:b w:val="0"/>
          <w:i w:val="0"/>
          <w:sz w:val="20"/>
        </w:rPr>
        <w:t xml:space="preserve"> (Script 38). The reference sits at a lower cosine and higher dHash than the Big-4 K=3 low-cos / high-dHash component (cos </w:t>
      </w:r>
      <w:r>
        <w:rPr>
          <w:rFonts w:ascii="Times New Roman" w:hAnsi="Times New Roman"/>
          <w:b w:val="0"/>
          <w:i w:val="0"/>
          <w:sz w:val="20"/>
        </w:rPr>
        <w:t>= 0.946</w:t>
      </w:r>
      <w:r>
        <w:rPr>
          <w:rFonts w:ascii="Times New Roman" w:hAnsi="Times New Roman"/>
          <w:b w:val="0"/>
          <w:i w:val="0"/>
          <w:sz w:val="20"/>
        </w:rPr>
        <w:t xml:space="preserve">, dHash </w:t>
      </w:r>
      <w:r>
        <w:rPr>
          <w:rFonts w:ascii="Times New Roman" w:hAnsi="Times New Roman"/>
          <w:b w:val="0"/>
          <w:i w:val="0"/>
          <w:sz w:val="20"/>
        </w:rPr>
        <w:t>= 9.17</w:t>
      </w:r>
      <w:r>
        <w:rPr>
          <w:rFonts w:ascii="Times New Roman" w:hAnsi="Times New Roman"/>
          <w:b w:val="0"/>
          <w:i w:val="0"/>
          <w:sz w:val="20"/>
        </w:rPr>
        <w:t xml:space="preserve">; §III-J); compared to the Big-4 high-cos / low-dHash component (cos </w:t>
      </w:r>
      <w:r>
        <w:rPr>
          <w:rFonts w:ascii="Times New Roman" w:hAnsi="Times New Roman"/>
          <w:b w:val="0"/>
          <w:i w:val="0"/>
          <w:sz w:val="20"/>
        </w:rPr>
        <w:t>= 0.983</w:t>
      </w:r>
      <w:r>
        <w:rPr>
          <w:rFonts w:ascii="Times New Roman" w:hAnsi="Times New Roman"/>
          <w:b w:val="0"/>
          <w:i w:val="0"/>
          <w:sz w:val="20"/>
        </w:rPr>
        <w:t xml:space="preserve">, dHash </w:t>
      </w:r>
      <w:r>
        <w:rPr>
          <w:rFonts w:ascii="Times New Roman" w:hAnsi="Times New Roman"/>
          <w:b w:val="0"/>
          <w:i w:val="0"/>
          <w:sz w:val="20"/>
        </w:rPr>
        <w:t>= 2.41</w:t>
      </w:r>
      <w:r>
        <w:rPr>
          <w:rFonts w:ascii="Times New Roman" w:hAnsi="Times New Roman"/>
          <w:b w:val="0"/>
          <w:i w:val="0"/>
          <w:sz w:val="20"/>
        </w:rPr>
        <w:t xml:space="preserve">; §III-J) the reference is markedly less replication-dominated. The reverse-anchor metric for a given Big-4 CPA is the percentile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within the reference marginal cosine distribution, sign-flipped so that lower percentile (further into the left tail of the reference) corresponds to a Big-4 CPA whose mean cosine sits further from the templated end of the descriptor plane. This is a "deviation in the less-replication-dominated descriptor-position direction" measure, not a "deviation toward the templated descriptor-position" measure; the reference is the less-replication-dominated population.</w:t>
      </w:r>
    </w:p>
    <w:p>
      <w:pPr>
        <w:pStyle w:val="Heading2"/>
      </w:pPr>
      <w:r>
        <w:rPr>
          <w:color w:val="000000"/>
        </w:rPr>
        <w:t>I. Distributional Diagnostics: Why the Composition Path Does Not Yield a Natural Threshold</w:t>
      </w:r>
    </w:p>
    <w:p>
      <w:pPr>
        <w:spacing w:after="120"/>
      </w:pPr>
      <w:r>
        <w:rPr>
          <w:rFonts w:ascii="Times New Roman" w:hAnsi="Times New Roman"/>
          <w:b w:val="0"/>
          <w:i w:val="0"/>
          <w:sz w:val="20"/>
        </w:rPr>
        <w:t xml:space="preserve">This section characterises the joint distribution of accountant-level descriptor means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across the 437 Big-4 CPAs of §III-G and tests whether the distribution provides distributional support — in the form of within-population bimodality — for the deployed operational thresholds. We apply four diagnostic procedures in turn: a univariate unimodality test on each accountant-level marginal; a 2D Gaussian mixture fit (developed in §III-J); a density-smoothness diagnostic; and a composition decomposition that distinguishes within-population multimodality from between-firm location-shift artefacts. The four diagnostics jointly imply that the operational thresholds are not anchored by distributional bimodality: §III-L develops an anchor-based calibration framework that does not require this assumption.</w:t>
      </w:r>
    </w:p>
    <w:p>
      <w:pPr>
        <w:spacing w:after="120"/>
      </w:pPr>
      <w:r>
        <w:rPr>
          <w:rFonts w:ascii="Times New Roman" w:hAnsi="Times New Roman"/>
          <w:b w:val="0"/>
          <w:i w:val="0"/>
          <w:sz w:val="20"/>
        </w:rPr>
        <w:t xml:space="preserve">1. Hartigan dip test on each accountant-level marginal. We apply the Hartigan &amp; Hartigan dip test [37] to each of the two marginal distributions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vertAlign w:val="subscript"/>
        </w:rPr>
        <w:t>a=1</w:t>
      </w:r>
      <w:r>
        <w:rPr>
          <w:rFonts w:ascii="Times New Roman" w:hAnsi="Times New Roman"/>
          <w:b w:val="0"/>
          <w:i w:val="0"/>
          <w:sz w:val="20"/>
          <w:vertAlign w:val="superscript"/>
        </w:rPr>
        <w:t>437</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vertAlign w:val="subscript"/>
        </w:rPr>
        <w:t>a=1</w:t>
      </w:r>
      <w:r>
        <w:rPr>
          <w:rFonts w:ascii="Times New Roman" w:hAnsi="Times New Roman"/>
          <w:b w:val="0"/>
          <w:i w:val="0"/>
          <w:sz w:val="20"/>
          <w:vertAlign w:val="superscript"/>
        </w:rPr>
        <w:t>437</w:t>
      </w:r>
      <w:r>
        <w:rPr>
          <w:rFonts w:ascii="Times New Roman" w:hAnsi="Times New Roman"/>
          <w:b w:val="0"/>
          <w:i w:val="0"/>
          <w:sz w:val="20"/>
        </w:rPr>
        <w:t xml:space="preserve">, with bootstrap-based </w:t>
      </w:r>
      <w:r>
        <w:rPr>
          <w:rFonts w:ascii="Times New Roman" w:hAnsi="Times New Roman"/>
          <w:b w:val="0"/>
          <w:i w:val="0"/>
          <w:sz w:val="20"/>
        </w:rPr>
        <w:t>p</w:t>
      </w:r>
      <w:r>
        <w:rPr>
          <w:rFonts w:ascii="Times New Roman" w:hAnsi="Times New Roman"/>
          <w:b w:val="0"/>
          <w:i w:val="0"/>
          <w:sz w:val="20"/>
        </w:rPr>
        <w:t>-value estimation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In both cases no bootstrap replicate exceeded the observed dip statistic, so the empirical </w:t>
      </w:r>
      <w:r>
        <w:rPr>
          <w:rFonts w:ascii="Times New Roman" w:hAnsi="Times New Roman"/>
          <w:b w:val="0"/>
          <w:i w:val="0"/>
          <w:sz w:val="20"/>
        </w:rPr>
        <w:t>p</w:t>
      </w:r>
      <w:r>
        <w:rPr>
          <w:rFonts w:ascii="Times New Roman" w:hAnsi="Times New Roman"/>
          <w:b w:val="0"/>
          <w:i w:val="0"/>
          <w:sz w:val="20"/>
        </w:rPr>
        <w:t xml:space="preserve">-value is bounded above by </w:t>
      </w:r>
      <w:r>
        <w:rPr>
          <w:rFonts w:ascii="Times New Roman" w:hAnsi="Times New Roman"/>
          <w:b w:val="0"/>
          <w:i w:val="0"/>
          <w:sz w:val="20"/>
        </w:rPr>
        <w:t>5 × 10</w:t>
      </w:r>
      <w:r>
        <w:rPr>
          <w:rFonts w:ascii="Times New Roman" w:hAnsi="Times New Roman"/>
          <w:b w:val="0"/>
          <w:i w:val="0"/>
          <w:sz w:val="20"/>
          <w:vertAlign w:val="superscript"/>
        </w:rPr>
        <w:t>-4</w:t>
      </w:r>
      <w:r>
        <w:rPr>
          <w:rFonts w:ascii="Times New Roman" w:hAnsi="Times New Roman"/>
          <w:b w:val="0"/>
          <w:i w:val="0"/>
          <w:sz w:val="20"/>
        </w:rPr>
        <w:t xml:space="preserve">; we report this in tables as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rather than </w:t>
      </w:r>
      <w:r>
        <w:rPr>
          <w:rFonts w:ascii="Times New Roman" w:hAnsi="Times New Roman"/>
          <w:b w:val="0"/>
          <w:i w:val="0"/>
          <w:sz w:val="20"/>
        </w:rPr>
        <w:t>p = 0</w:t>
      </w:r>
      <w:r>
        <w:rPr>
          <w:rFonts w:ascii="Times New Roman" w:hAnsi="Times New Roman"/>
          <w:b w:val="0"/>
          <w:i w:val="0"/>
          <w:sz w:val="20"/>
        </w:rPr>
        <w:t xml:space="preserve"> to reflect the bootstrap resolution (Script 34). For comparison, no rejection of unimodality holds in the comparison scopes tested in Script 32: Firm A pooled alone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0.992</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0.924</w:t>
      </w:r>
      <w:r>
        <w:rPr>
          <w:rFonts w:ascii="Times New Roman" w:hAnsi="Times New Roman"/>
          <w:b w:val="0"/>
          <w:i w:val="0"/>
          <w:sz w:val="20"/>
        </w:rPr>
        <w:t xml:space="preserve">, </w:t>
      </w:r>
      <w:r>
        <w:rPr>
          <w:rFonts w:ascii="Times New Roman" w:hAnsi="Times New Roman"/>
          <w:b w:val="0"/>
          <w:i w:val="0"/>
          <w:sz w:val="20"/>
        </w:rPr>
        <w:t>n = 171</w:t>
      </w:r>
      <w:r>
        <w:rPr>
          <w:rFonts w:ascii="Times New Roman" w:hAnsi="Times New Roman"/>
          <w:b w:val="0"/>
          <w:i w:val="0"/>
          <w:sz w:val="20"/>
        </w:rPr>
        <w:t>); Firms B + C + D pooled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0.998</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0.906</w:t>
      </w:r>
      <w:r>
        <w:rPr>
          <w:rFonts w:ascii="Times New Roman" w:hAnsi="Times New Roman"/>
          <w:b w:val="0"/>
          <w:i w:val="0"/>
          <w:sz w:val="20"/>
        </w:rPr>
        <w:t xml:space="preserve">, </w:t>
      </w:r>
      <w:r>
        <w:rPr>
          <w:rFonts w:ascii="Times New Roman" w:hAnsi="Times New Roman"/>
          <w:b w:val="0"/>
          <w:i w:val="0"/>
          <w:sz w:val="20"/>
        </w:rPr>
        <w:t>n = 266</w:t>
      </w:r>
      <w:r>
        <w:rPr>
          <w:rFonts w:ascii="Times New Roman" w:hAnsi="Times New Roman"/>
          <w:b w:val="0"/>
          <w:i w:val="0"/>
          <w:sz w:val="20"/>
        </w:rPr>
        <w:t>); all non-Firm-A CPAs pooled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0.998</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0.907</w:t>
      </w:r>
      <w:r>
        <w:rPr>
          <w:rFonts w:ascii="Times New Roman" w:hAnsi="Times New Roman"/>
          <w:b w:val="0"/>
          <w:i w:val="0"/>
          <w:sz w:val="20"/>
        </w:rPr>
        <w:t xml:space="preserve">, </w:t>
      </w:r>
      <w:r>
        <w:rPr>
          <w:rFonts w:ascii="Times New Roman" w:hAnsi="Times New Roman"/>
          <w:b w:val="0"/>
          <w:i w:val="0"/>
          <w:sz w:val="20"/>
        </w:rPr>
        <w:t>n = 515</w:t>
      </w:r>
      <w:r>
        <w:rPr>
          <w:rFonts w:ascii="Times New Roman" w:hAnsi="Times New Roman"/>
          <w:b w:val="0"/>
          <w:i w:val="0"/>
          <w:sz w:val="20"/>
        </w:rPr>
        <w:t>). Single-firm dip tests for Firms B, C, and D were not separately computed; the comparison scopes above sufficed to establish that no narrower-than-Big-4 tested scope at the accountant level rejected unimodality. The accountant-level Big-4 rejection is a descriptive observation; §III-I.4 below shows that the rejection is fully explained by between-firm location-shift effects rather than within-population bimodality.</w:t>
      </w:r>
    </w:p>
    <w:p>
      <w:pPr>
        <w:spacing w:after="120"/>
      </w:pPr>
      <w:r>
        <w:rPr>
          <w:rFonts w:ascii="Times New Roman" w:hAnsi="Times New Roman"/>
          <w:b w:val="0"/>
          <w:i w:val="0"/>
          <w:sz w:val="20"/>
        </w:rPr>
        <w:t xml:space="preserve">2. K=2 / K=3 Gaussian mixture fits (descriptive partition). A 2-component 2D Gaussian Mixture Model (full covariance, </w:t>
      </w:r>
      <w:r>
        <w:rPr>
          <w:rFonts w:ascii="Times New Roman" w:hAnsi="Times New Roman"/>
          <w:b w:val="0"/>
          <w:i w:val="0"/>
          <w:sz w:val="20"/>
        </w:rPr>
        <w:t>n</w:t>
      </w:r>
      <w:r>
        <w:rPr>
          <w:rFonts w:ascii="Times New Roman" w:hAnsi="Times New Roman"/>
          <w:b w:val="0"/>
          <w:i w:val="0"/>
          <w:sz w:val="20"/>
          <w:vertAlign w:val="subscript"/>
        </w:rPr>
        <w:t>init</w:t>
      </w:r>
      <w:r>
        <w:rPr>
          <w:rFonts w:ascii="Times New Roman" w:hAnsi="Times New Roman"/>
          <w:b w:val="0"/>
          <w:i w:val="0"/>
          <w:sz w:val="20"/>
        </w:rPr>
        <w:t xml:space="preserve"> = 15</w:t>
      </w:r>
      <w:r>
        <w:rPr>
          <w:rFonts w:ascii="Times New Roman" w:hAnsi="Times New Roman"/>
          <w:b w:val="0"/>
          <w:i w:val="0"/>
          <w:sz w:val="20"/>
        </w:rPr>
        <w:t xml:space="preserve">, fixed seed 42; Script 34) recovers components at </w:t>
      </w:r>
      <w:r>
        <w:rPr>
          <w:rFonts w:ascii="Times New Roman" w:hAnsi="Times New Roman"/>
          <w:b w:val="0"/>
          <w:i w:val="0"/>
          <w:sz w:val="20"/>
        </w:rPr>
        <w:t>(cos, dHash) = (0.954, 7.14)</w:t>
      </w:r>
      <w:r>
        <w:rPr>
          <w:rFonts w:ascii="Times New Roman" w:hAnsi="Times New Roman"/>
          <w:b w:val="0"/>
          <w:i w:val="0"/>
          <w:sz w:val="20"/>
        </w:rPr>
        <w:t xml:space="preserve">, weight </w:t>
      </w:r>
      <w:r>
        <w:rPr>
          <w:rFonts w:ascii="Times New Roman" w:hAnsi="Times New Roman"/>
          <w:b w:val="0"/>
          <w:i w:val="0"/>
          <w:sz w:val="20"/>
        </w:rPr>
        <w:t>0.689</w:t>
      </w:r>
      <w:r>
        <w:rPr>
          <w:rFonts w:ascii="Times New Roman" w:hAnsi="Times New Roman"/>
          <w:b w:val="0"/>
          <w:i w:val="0"/>
          <w:sz w:val="20"/>
        </w:rPr>
        <w:t xml:space="preserve">, and </w:t>
      </w:r>
      <w:r>
        <w:rPr>
          <w:rFonts w:ascii="Times New Roman" w:hAnsi="Times New Roman"/>
          <w:b w:val="0"/>
          <w:i w:val="0"/>
          <w:sz w:val="20"/>
        </w:rPr>
        <w:t>(0.983, 2.41)</w:t>
      </w:r>
      <w:r>
        <w:rPr>
          <w:rFonts w:ascii="Times New Roman" w:hAnsi="Times New Roman"/>
          <w:b w:val="0"/>
          <w:i w:val="0"/>
          <w:sz w:val="20"/>
        </w:rPr>
        <w:t xml:space="preserve">, weight </w:t>
      </w:r>
      <w:r>
        <w:rPr>
          <w:rFonts w:ascii="Times New Roman" w:hAnsi="Times New Roman"/>
          <w:b w:val="0"/>
          <w:i w:val="0"/>
          <w:sz w:val="20"/>
        </w:rPr>
        <w:t>0.311</w:t>
      </w:r>
      <w:r>
        <w:rPr>
          <w:rFonts w:ascii="Times New Roman" w:hAnsi="Times New Roman"/>
          <w:b w:val="0"/>
          <w:i w:val="0"/>
          <w:sz w:val="20"/>
        </w:rPr>
        <w:t xml:space="preserve">. The marginal crossings of the K=2 fit are </w:t>
      </w:r>
      <w:r>
        <w:rPr>
          <w:rFonts w:ascii="Times New Roman" w:hAnsi="Times New Roman"/>
          <w:b w:val="0"/>
          <w:i w:val="0"/>
          <w:sz w:val="20"/>
        </w:rPr>
        <w:t>cos^ = 0.9755</w:t>
      </w:r>
      <w:r>
        <w:rPr>
          <w:rFonts w:ascii="Times New Roman" w:hAnsi="Times New Roman"/>
          <w:b w:val="0"/>
          <w:i w:val="0"/>
          <w:sz w:val="20"/>
        </w:rPr>
        <w:t xml:space="preserve"> and </w:t>
      </w:r>
      <w:r>
        <w:rPr>
          <w:rFonts w:ascii="Times New Roman" w:hAnsi="Times New Roman"/>
          <w:b w:val="0"/>
          <w:i w:val="0"/>
          <w:sz w:val="20"/>
        </w:rPr>
        <w:t>dHash^ = 3.755</w:t>
      </w:r>
      <w:r>
        <w:rPr>
          <w:rFonts w:ascii="Times New Roman" w:hAnsi="Times New Roman"/>
          <w:b w:val="0"/>
          <w:i w:val="0"/>
          <w:sz w:val="20"/>
        </w:rPr>
        <w:t xml:space="preserve">, with bootstrap 95% confidence intervals </w:t>
      </w:r>
      <w:r>
        <w:rPr>
          <w:rFonts w:ascii="Times New Roman" w:hAnsi="Times New Roman"/>
          <w:b w:val="0"/>
          <w:i w:val="0"/>
          <w:sz w:val="20"/>
        </w:rPr>
        <w:t>[0.9742, 0.9772]</w:t>
      </w:r>
      <w:r>
        <w:rPr>
          <w:rFonts w:ascii="Times New Roman" w:hAnsi="Times New Roman"/>
          <w:b w:val="0"/>
          <w:i w:val="0"/>
          <w:sz w:val="20"/>
        </w:rPr>
        <w:t xml:space="preserve"> and </w:t>
      </w:r>
      <w:r>
        <w:rPr>
          <w:rFonts w:ascii="Times New Roman" w:hAnsi="Times New Roman"/>
          <w:b w:val="0"/>
          <w:i w:val="0"/>
          <w:sz w:val="20"/>
        </w:rPr>
        <w:t>[3.48, 3.97]</w:t>
      </w:r>
      <w:r>
        <w:rPr>
          <w:rFonts w:ascii="Times New Roman" w:hAnsi="Times New Roman"/>
          <w:b w:val="0"/>
          <w:i w:val="0"/>
          <w:sz w:val="20"/>
        </w:rPr>
        <w:t xml:space="preserve"> over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500</w:t>
      </w:r>
      <w:r>
        <w:rPr>
          <w:rFonts w:ascii="Times New Roman" w:hAnsi="Times New Roman"/>
          <w:b w:val="0"/>
          <w:i w:val="0"/>
          <w:sz w:val="20"/>
        </w:rPr>
        <w:t xml:space="preserve"> resamples. The 3-component fit (§III-J) is BIC-preferred — using the convention that lower BIC is preferred, </w:t>
      </w:r>
      <w:r>
        <w:rPr>
          <w:rFonts w:ascii="Times New Roman" w:hAnsi="Times New Roman"/>
          <w:b w:val="0"/>
          <w:i w:val="0"/>
          <w:sz w:val="20"/>
        </w:rPr>
        <w:t>BIC(K=3) - BIC(K=2) = -3.48</w:t>
      </w:r>
      <w:r>
        <w:rPr>
          <w:rFonts w:ascii="Times New Roman" w:hAnsi="Times New Roman"/>
          <w:b w:val="0"/>
          <w:i w:val="0"/>
          <w:sz w:val="20"/>
        </w:rPr>
        <w:t xml:space="preserve"> (Script 36). The </w:t>
      </w:r>
      <w:r>
        <w:rPr>
          <w:rFonts w:ascii="Times New Roman" w:hAnsi="Times New Roman"/>
          <w:b w:val="0"/>
          <w:i w:val="0"/>
          <w:sz w:val="20"/>
        </w:rPr>
        <w:t>Δ</w:t>
      </w:r>
      <w:r>
        <w:rPr>
          <w:rFonts w:ascii="Times New Roman" w:hAnsi="Times New Roman"/>
          <w:b w:val="0"/>
          <w:i w:val="0"/>
          <w:sz w:val="20"/>
        </w:rPr>
        <w:t xml:space="preserve">BIC magnitude is small in absolute terms; we do not treat </w:t>
      </w:r>
      <w:r>
        <w:rPr>
          <w:rFonts w:ascii="Times New Roman" w:hAnsi="Times New Roman"/>
          <w:b w:val="0"/>
          <w:i w:val="0"/>
          <w:sz w:val="20"/>
        </w:rPr>
        <w:t>ΔBIC = 3.5</w:t>
      </w:r>
      <w:r>
        <w:rPr>
          <w:rFonts w:ascii="Times New Roman" w:hAnsi="Times New Roman"/>
          <w:b w:val="0"/>
          <w:i w:val="0"/>
          <w:sz w:val="20"/>
        </w:rPr>
        <w:t xml:space="preserve"> alone as decisive evidence for K=3 as a population mixture. Following §III-I.4 we treat both K=2 and K=3 fits as descriptive partitions of the joint Big-4 distribution that reflect firm-composition structure (Firm A vs others; §III-J) rather than as inferential evidence for two or three latent population modes.</w:t>
      </w:r>
    </w:p>
    <w:p>
      <w:pPr>
        <w:spacing w:after="120"/>
      </w:pPr>
      <w:r>
        <w:rPr>
          <w:rFonts w:ascii="Times New Roman" w:hAnsi="Times New Roman"/>
          <w:b w:val="0"/>
          <w:i w:val="0"/>
          <w:sz w:val="20"/>
        </w:rPr>
        <w:t xml:space="preserve">3. Burgstahler-Dichev / McCrary density-smoothness diagnostic. We apply the discontinuity test of [38, 39] as a density-smoothness diagnostic (rather than as a threshold estimator) on each accountant-level marginal axis (cosine in bins of </w:t>
      </w:r>
      <w:r>
        <w:rPr>
          <w:rFonts w:ascii="Times New Roman" w:hAnsi="Times New Roman"/>
          <w:b w:val="0"/>
          <w:i w:val="0"/>
          <w:sz w:val="20"/>
        </w:rPr>
        <w:t>0.002</w:t>
      </w:r>
      <w:r>
        <w:rPr>
          <w:rFonts w:ascii="Times New Roman" w:hAnsi="Times New Roman"/>
          <w:b w:val="0"/>
          <w:i w:val="0"/>
          <w:sz w:val="20"/>
        </w:rPr>
        <w:t xml:space="preserve">, dHash in integer bins). At the Big-4 scope, the diagnostic identifies no significant transition on either marginal at </w:t>
      </w:r>
      <w:r>
        <w:rPr>
          <w:rFonts w:ascii="Times New Roman" w:hAnsi="Times New Roman"/>
          <w:b w:val="0"/>
          <w:i w:val="0"/>
          <w:sz w:val="20"/>
        </w:rPr>
        <w:t>α = 0.05</w:t>
      </w:r>
      <w:r>
        <w:rPr>
          <w:rFonts w:ascii="Times New Roman" w:hAnsi="Times New Roman"/>
          <w:b w:val="0"/>
          <w:i w:val="0"/>
          <w:sz w:val="20"/>
        </w:rPr>
        <w:t xml:space="preserve"> (Script 34). Outside Big-4, the diagnostic does flag dHash transitions in some subsets (Script 32: big4_non_A dHash transition at </w:t>
      </w:r>
      <w:r>
        <w:rPr>
          <w:rFonts w:ascii="Times New Roman" w:hAnsi="Times New Roman"/>
          <w:b w:val="0"/>
          <w:i w:val="0"/>
          <w:sz w:val="20"/>
        </w:rPr>
        <w:t>10.8</w:t>
      </w:r>
      <w:r>
        <w:rPr>
          <w:rFonts w:ascii="Times New Roman" w:hAnsi="Times New Roman"/>
          <w:b w:val="0"/>
          <w:i w:val="0"/>
          <w:sz w:val="20"/>
        </w:rPr>
        <w:t xml:space="preserve">; all_non_A dHash transition at </w:t>
      </w:r>
      <w:r>
        <w:rPr>
          <w:rFonts w:ascii="Times New Roman" w:hAnsi="Times New Roman"/>
          <w:b w:val="0"/>
          <w:i w:val="0"/>
          <w:sz w:val="20"/>
        </w:rPr>
        <w:t>6.6</w:t>
      </w:r>
      <w:r>
        <w:rPr>
          <w:rFonts w:ascii="Times New Roman" w:hAnsi="Times New Roman"/>
          <w:b w:val="0"/>
          <w:i w:val="0"/>
          <w:sz w:val="20"/>
        </w:rPr>
        <w:t>; pre-2018 and post-2020 time-stratified variants also exhibit one or more dHash transitions), but no cosine transition is identified in any subset. The Big-4-scope null on both axes is consistent with §III-I.4 below: under the composition decomposition the Big-4 marginals are unimodal once between-firm and integer-tie confounds are removed, so a local-discontinuity test correctly fails to flag a within-population transition.</w:t>
      </w:r>
    </w:p>
    <w:p>
      <w:pPr>
        <w:spacing w:after="120"/>
      </w:pPr>
      <w:r>
        <w:rPr>
          <w:rFonts w:ascii="Times New Roman" w:hAnsi="Times New Roman"/>
          <w:b w:val="0"/>
          <w:i w:val="0"/>
          <w:sz w:val="20"/>
        </w:rPr>
        <w:t>4. Composition decomposition (Scripts 39b–39e). §III-I.1 establishes that the accountant-level marginals reject unimodality at the Big-4 sub-corpus. The remaining question is whether the rejection reflects (a) genuine within-population bimodality at the signature or accountant level, (b) between-firm location-shift artefacts (firms with different mean descriptor positions pool to a multi-peaked distribution), or (c) integer mass-point artefacts on the integer-valued dHash axis (the dHash dip statistic is sensitive to spikes at integer values). We apply four diagnostics that decompose the rejection into these candidate sources:</w:t>
      </w:r>
    </w:p>
    <w:p>
      <w:pPr>
        <w:spacing w:after="120"/>
      </w:pPr>
      <w:r>
        <w:rPr>
          <w:rFonts w:ascii="Times New Roman" w:hAnsi="Times New Roman"/>
          <w:b w:val="0"/>
          <w:i w:val="0"/>
          <w:sz w:val="20"/>
        </w:rPr>
        <w:t xml:space="preserve">Within-firm signature-level dip (Scripts 39b, 39c). Repeating the dip test at the signature level inside each individual Big-4 firm (Script 39b) and inside each individual non-Big-4 firm with </w:t>
      </w:r>
      <w:r>
        <w:rPr>
          <w:rFonts w:ascii="Times New Roman" w:hAnsi="Times New Roman"/>
          <w:b w:val="0"/>
          <w:i w:val="0"/>
          <w:sz w:val="20"/>
        </w:rPr>
        <w:t>≥ 500</w:t>
      </w:r>
      <w:r>
        <w:rPr>
          <w:rFonts w:ascii="Times New Roman" w:hAnsi="Times New Roman"/>
          <w:b w:val="0"/>
          <w:i w:val="0"/>
          <w:sz w:val="20"/>
        </w:rPr>
        <w:t xml:space="preserve"> signatures (Script 39c) yields a consistent picture. The cosine marginal fails to reject unimodality in every single firm tested — all four Big-4 firms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\{0.176, 0.991, 0.551, 0.976\}</w:t>
      </w:r>
      <w:r>
        <w:rPr>
          <w:rFonts w:ascii="Times New Roman" w:hAnsi="Times New Roman"/>
          <w:b w:val="0"/>
          <w:i w:val="0"/>
          <w:sz w:val="20"/>
        </w:rPr>
        <w:t xml:space="preserve"> for Firms A through D; Script 39b) and ten non-Big-4 firms with </w:t>
      </w:r>
      <w:r>
        <w:rPr>
          <w:rFonts w:ascii="Times New Roman" w:hAnsi="Times New Roman"/>
          <w:b w:val="0"/>
          <w:i w:val="0"/>
          <w:sz w:val="20"/>
        </w:rPr>
        <w:t>≥ 500</w:t>
      </w:r>
      <w:r>
        <w:rPr>
          <w:rFonts w:ascii="Times New Roman" w:hAnsi="Times New Roman"/>
          <w:b w:val="0"/>
          <w:i w:val="0"/>
          <w:sz w:val="20"/>
        </w:rPr>
        <w:t xml:space="preserve"> signatures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[0.59, 0.99]</w:t>
      </w:r>
      <w:r>
        <w:rPr>
          <w:rFonts w:ascii="Times New Roman" w:hAnsi="Times New Roman"/>
          <w:b w:val="0"/>
          <w:i w:val="0"/>
          <w:sz w:val="20"/>
        </w:rPr>
        <w:t>; Script 39c). The raw dHash marginal does reject unimodality in every firm tested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in all </w:t>
      </w:r>
      <w:r>
        <w:rPr>
          <w:rFonts w:ascii="Times New Roman" w:hAnsi="Times New Roman"/>
          <w:b w:val="0"/>
          <w:i w:val="0"/>
          <w:sz w:val="20"/>
        </w:rPr>
        <w:t>14</w:t>
      </w:r>
      <w:r>
        <w:rPr>
          <w:rFonts w:ascii="Times New Roman" w:hAnsi="Times New Roman"/>
          <w:b w:val="0"/>
          <w:i w:val="0"/>
          <w:sz w:val="20"/>
        </w:rPr>
        <w:t xml:space="preserve"> firms), but the raw dHash values are integer-valued in </w:t>
      </w:r>
      <w:r>
        <w:rPr>
          <w:rFonts w:ascii="Times New Roman" w:hAnsi="Times New Roman"/>
          <w:b w:val="0"/>
          <w:i w:val="0"/>
          <w:sz w:val="20"/>
        </w:rPr>
        <w:t>\{0, 1, …, 64\}</w:t>
      </w:r>
      <w:r>
        <w:rPr>
          <w:rFonts w:ascii="Times New Roman" w:hAnsi="Times New Roman"/>
          <w:b w:val="0"/>
          <w:i w:val="0"/>
          <w:sz w:val="20"/>
        </w:rPr>
        <w:t>, leaving open the possibility of an integer-tie artefact.</w:t>
      </w:r>
    </w:p>
    <w:p>
      <w:pPr>
        <w:spacing w:after="120"/>
      </w:pPr>
      <w:r>
        <w:rPr>
          <w:rFonts w:ascii="Times New Roman" w:hAnsi="Times New Roman"/>
          <w:b w:val="0"/>
          <w:i w:val="0"/>
          <w:sz w:val="20"/>
        </w:rPr>
        <w:t xml:space="preserve">Integer-jitter robustness (Scripts 39d, 39e). Adding independent uniform jitter </w:t>
      </w:r>
      <w:r>
        <w:rPr>
          <w:rFonts w:ascii="Times New Roman" w:hAnsi="Times New Roman"/>
          <w:b w:val="0"/>
          <w:i w:val="0"/>
          <w:sz w:val="20"/>
        </w:rPr>
        <w:t>~ U[-0.5, +0.5]</w:t>
      </w:r>
      <w:r>
        <w:rPr>
          <w:rFonts w:ascii="Times New Roman" w:hAnsi="Times New Roman"/>
          <w:b w:val="0"/>
          <w:i w:val="0"/>
          <w:sz w:val="20"/>
        </w:rPr>
        <w:t xml:space="preserve"> to break exact dHash ties and re-running the dip test on the perturbed signature cloud (5 seeds,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Script 39d) eliminates the dHash within-firm rejection in every Big-4 firm tested (Firm A jittered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0.999</w:t>
      </w:r>
      <w:r>
        <w:rPr>
          <w:rFonts w:ascii="Times New Roman" w:hAnsi="Times New Roman"/>
          <w:b w:val="0"/>
          <w:i w:val="0"/>
          <w:sz w:val="20"/>
        </w:rPr>
        <w:t xml:space="preserve">; B </w:t>
      </w:r>
      <w:r>
        <w:rPr>
          <w:rFonts w:ascii="Times New Roman" w:hAnsi="Times New Roman"/>
          <w:b w:val="0"/>
          <w:i w:val="0"/>
          <w:sz w:val="20"/>
        </w:rPr>
        <w:t>0.996</w:t>
      </w:r>
      <w:r>
        <w:rPr>
          <w:rFonts w:ascii="Times New Roman" w:hAnsi="Times New Roman"/>
          <w:b w:val="0"/>
          <w:i w:val="0"/>
          <w:sz w:val="20"/>
        </w:rPr>
        <w:t xml:space="preserve">; C </w:t>
      </w:r>
      <w:r>
        <w:rPr>
          <w:rFonts w:ascii="Times New Roman" w:hAnsi="Times New Roman"/>
          <w:b w:val="0"/>
          <w:i w:val="0"/>
          <w:sz w:val="20"/>
        </w:rPr>
        <w:t>0.999</w:t>
      </w:r>
      <w:r>
        <w:rPr>
          <w:rFonts w:ascii="Times New Roman" w:hAnsi="Times New Roman"/>
          <w:b w:val="0"/>
          <w:i w:val="0"/>
          <w:sz w:val="20"/>
        </w:rPr>
        <w:t xml:space="preserve">; D </w:t>
      </w:r>
      <w:r>
        <w:rPr>
          <w:rFonts w:ascii="Times New Roman" w:hAnsi="Times New Roman"/>
          <w:b w:val="0"/>
          <w:i w:val="0"/>
          <w:sz w:val="20"/>
        </w:rPr>
        <w:t>0.9995</w:t>
      </w:r>
      <w:r>
        <w:rPr>
          <w:rFonts w:ascii="Times New Roman" w:hAnsi="Times New Roman"/>
          <w:b w:val="0"/>
          <w:i w:val="0"/>
          <w:sz w:val="20"/>
        </w:rPr>
        <w:t xml:space="preserve">; </w:t>
      </w:r>
      <w:r>
        <w:rPr>
          <w:rFonts w:ascii="Times New Roman" w:hAnsi="Times New Roman"/>
          <w:b w:val="0"/>
          <w:i w:val="0"/>
          <w:sz w:val="20"/>
        </w:rPr>
        <w:t>0</w:t>
      </w:r>
      <w:r>
        <w:rPr>
          <w:rFonts w:ascii="Times New Roman" w:hAnsi="Times New Roman"/>
          <w:b w:val="0"/>
          <w:i w:val="0"/>
          <w:sz w:val="20"/>
        </w:rPr>
        <w:t>/</w:t>
      </w:r>
      <w:r>
        <w:rPr>
          <w:rFonts w:ascii="Times New Roman" w:hAnsi="Times New Roman"/>
          <w:b w:val="0"/>
          <w:i w:val="0"/>
          <w:sz w:val="20"/>
        </w:rPr>
        <w:t>5</w:t>
      </w:r>
      <w:r>
        <w:rPr>
          <w:rFonts w:ascii="Times New Roman" w:hAnsi="Times New Roman"/>
          <w:b w:val="0"/>
          <w:i w:val="0"/>
          <w:sz w:val="20"/>
        </w:rPr>
        <w:t xml:space="preserve"> seeds reject at </w:t>
      </w:r>
      <w:r>
        <w:rPr>
          <w:rFonts w:ascii="Times New Roman" w:hAnsi="Times New Roman"/>
          <w:b w:val="0"/>
          <w:i w:val="0"/>
          <w:sz w:val="20"/>
        </w:rPr>
        <w:t>α = 0.05</w:t>
      </w:r>
      <w:r>
        <w:rPr>
          <w:rFonts w:ascii="Times New Roman" w:hAnsi="Times New Roman"/>
          <w:b w:val="0"/>
          <w:i w:val="0"/>
          <w:sz w:val="20"/>
        </w:rPr>
        <w:t xml:space="preserve"> in any firm). The pooled-Big-4 dHash dip does survive jitter alone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w:t>
      </w:r>
      <w:r>
        <w:rPr>
          <w:rFonts w:ascii="Times New Roman" w:hAnsi="Times New Roman"/>
          <w:b w:val="0"/>
          <w:i w:val="0"/>
          <w:sz w:val="20"/>
        </w:rPr>
        <w:t xml:space="preserve">, </w:t>
      </w:r>
      <w:r>
        <w:rPr>
          <w:rFonts w:ascii="Times New Roman" w:hAnsi="Times New Roman"/>
          <w:b w:val="0"/>
          <w:i w:val="0"/>
          <w:sz w:val="20"/>
        </w:rPr>
        <w:t>5</w:t>
      </w:r>
      <w:r>
        <w:rPr>
          <w:rFonts w:ascii="Times New Roman" w:hAnsi="Times New Roman"/>
          <w:b w:val="0"/>
          <w:i w:val="0"/>
          <w:sz w:val="20"/>
        </w:rPr>
        <w:t>/</w:t>
      </w:r>
      <w:r>
        <w:rPr>
          <w:rFonts w:ascii="Times New Roman" w:hAnsi="Times New Roman"/>
          <w:b w:val="0"/>
          <w:i w:val="0"/>
          <w:sz w:val="20"/>
        </w:rPr>
        <w:t>5</w:t>
      </w:r>
      <w:r>
        <w:rPr>
          <w:rFonts w:ascii="Times New Roman" w:hAnsi="Times New Roman"/>
          <w:b w:val="0"/>
          <w:i w:val="0"/>
          <w:sz w:val="20"/>
        </w:rPr>
        <w:t xml:space="preserve"> seeds reject), but Firm A's mean dHash (</w:t>
      </w:r>
      <w:r>
        <w:rPr>
          <w:rFonts w:ascii="Times New Roman" w:hAnsi="Times New Roman"/>
          <w:b w:val="0"/>
          <w:i w:val="0"/>
          <w:sz w:val="20"/>
        </w:rPr>
        <w:t>2.73</w:t>
      </w:r>
      <w:r>
        <w:rPr>
          <w:rFonts w:ascii="Times New Roman" w:hAnsi="Times New Roman"/>
          <w:b w:val="0"/>
          <w:i w:val="0"/>
          <w:sz w:val="20"/>
        </w:rPr>
        <w:t>) is substantially below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xml:space="preserve">) — a between-firm location shift. Script 39e applies a 2 × 2 factorial correction (firm-mean centring </w:t>
      </w:r>
      <w:r>
        <w:rPr>
          <w:rFonts w:ascii="Times New Roman" w:hAnsi="Times New Roman"/>
          <w:b w:val="0"/>
          <w:i w:val="0"/>
          <w:sz w:val="20"/>
        </w:rPr>
        <w:t>×</w:t>
      </w:r>
      <w:r>
        <w:rPr>
          <w:rFonts w:ascii="Times New Roman" w:hAnsi="Times New Roman"/>
          <w:b w:val="0"/>
          <w:i w:val="0"/>
          <w:sz w:val="20"/>
        </w:rPr>
        <w:t xml:space="preserve"> integer jitter) on the Big-4 pooled dHash: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Condition</w:t>
            </w:r>
          </w:p>
        </w:tc>
        <w:tc>
          <w:tcPr>
            <w:tcW w:type="dxa" w:w="1728"/>
          </w:tcPr>
          <w:p>
            <w:pPr>
              <w:jc w:val="center"/>
            </w:pPr>
            <w:r/>
            <w:r>
              <w:rPr>
                <w:rFonts w:ascii="Times New Roman" w:hAnsi="Times New Roman"/>
                <w:b/>
                <w:i w:val="0"/>
                <w:sz w:val="16"/>
              </w:rPr>
              <w:t>Firm-mean centred</w:t>
            </w:r>
          </w:p>
        </w:tc>
        <w:tc>
          <w:tcPr>
            <w:tcW w:type="dxa" w:w="1728"/>
          </w:tcPr>
          <w:p>
            <w:pPr>
              <w:jc w:val="center"/>
            </w:pPr>
            <w:r/>
            <w:r>
              <w:rPr>
                <w:rFonts w:ascii="Times New Roman" w:hAnsi="Times New Roman"/>
                <w:b/>
                <w:i w:val="0"/>
                <w:sz w:val="16"/>
              </w:rPr>
              <w:t>Integer jitter</w:t>
            </w:r>
          </w:p>
        </w:tc>
        <w:tc>
          <w:tcPr>
            <w:tcW w:type="dxa" w:w="1728"/>
          </w:tcPr>
          <w:p>
            <w:pPr>
              <w:jc w:val="center"/>
            </w:pPr>
            <w:r/>
            <w:r>
              <w:rPr>
                <w:rFonts w:ascii="Times New Roman" w:hAnsi="Times New Roman"/>
                <w:b/>
                <w:i w:val="0"/>
                <w:sz w:val="16"/>
              </w:rPr>
              <w:t xml:space="preserve">Median dip </w:t>
            </w:r>
            <w:r>
              <w:rPr>
                <w:rFonts w:ascii="Times New Roman" w:hAnsi="Times New Roman"/>
                <w:b/>
                <w:i w:val="0"/>
                <w:sz w:val="16"/>
              </w:rPr>
              <w:t>p</w:t>
            </w:r>
          </w:p>
        </w:tc>
        <w:tc>
          <w:tcPr>
            <w:tcW w:type="dxa" w:w="1728"/>
          </w:tcPr>
          <w:p>
            <w:pPr>
              <w:jc w:val="center"/>
            </w:pPr>
            <w:r/>
            <w:r>
              <w:rPr>
                <w:rFonts w:ascii="Times New Roman" w:hAnsi="Times New Roman"/>
                <w:b/>
                <w:i w:val="0"/>
                <w:sz w:val="16"/>
              </w:rPr>
              <w:t xml:space="preserve">Reject at </w:t>
            </w:r>
            <w:r>
              <w:rPr>
                <w:rFonts w:ascii="Times New Roman" w:hAnsi="Times New Roman"/>
                <w:b/>
                <w:i w:val="0"/>
                <w:sz w:val="16"/>
              </w:rPr>
              <w:t>α = 0.05</w:t>
            </w:r>
          </w:p>
        </w:tc>
      </w:tr>
      <w:tr>
        <w:tc>
          <w:tcPr>
            <w:tcW w:type="dxa" w:w="1728"/>
          </w:tcPr>
          <w:p>
            <w:pPr>
              <w:jc w:val="center"/>
            </w:pPr>
            <w:r/>
            <w:r>
              <w:rPr>
                <w:rFonts w:ascii="Times New Roman" w:hAnsi="Times New Roman"/>
                <w:b w:val="0"/>
                <w:i w:val="0"/>
                <w:sz w:val="16"/>
              </w:rPr>
              <w:t>1 raw</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2 centred only</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3 jittered only</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4 centred and jittered</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0.35</w:t>
            </w:r>
          </w:p>
        </w:tc>
        <w:tc>
          <w:tcPr>
            <w:tcW w:type="dxa" w:w="1728"/>
          </w:tcPr>
          <w:p>
            <w:pPr>
              <w:jc w:val="center"/>
            </w:pPr>
            <w:r/>
            <w:r>
              <w:rPr>
                <w:rFonts w:ascii="Times New Roman" w:hAnsi="Times New Roman"/>
                <w:b w:val="0"/>
                <w:i w:val="0"/>
                <w:sz w:val="16"/>
              </w:rPr>
              <w:t>0/5</w:t>
            </w:r>
          </w:p>
        </w:tc>
      </w:tr>
    </w:tbl>
    <w:p/>
    <w:p>
      <w:pPr>
        <w:spacing w:after="120"/>
      </w:pPr>
      <w:r>
        <w:rPr>
          <w:rFonts w:ascii="Times New Roman" w:hAnsi="Times New Roman"/>
          <w:b w:val="0"/>
          <w:i w:val="0"/>
          <w:sz w:val="20"/>
        </w:rPr>
        <w:t xml:space="preserve">Removing both the between-firm location shift and the integer mass points eliminates the Big-4 dHash rejection. The Big-4 pooled dHash multimodality is therefore fully attributable to firm-composition contrast (primarily Firm A's mean </w:t>
      </w:r>
      <w:r>
        <w:rPr>
          <w:rFonts w:ascii="Times New Roman" w:hAnsi="Times New Roman"/>
          <w:b w:val="0"/>
          <w:i w:val="0"/>
          <w:sz w:val="20"/>
        </w:rPr>
        <w:t>dHash = 2.73</w:t>
      </w:r>
      <w:r>
        <w:rPr>
          <w:rFonts w:ascii="Times New Roman" w:hAnsi="Times New Roman"/>
          <w:b w:val="0"/>
          <w:i w:val="0"/>
          <w:sz w:val="20"/>
        </w:rPr>
        <w:t xml:space="preserve"> versus Firms B/C/D </w:t>
      </w:r>
      <w:r>
        <w:rPr>
          <w:rFonts w:ascii="Times New Roman" w:hAnsi="Times New Roman"/>
          <w:b w:val="0"/>
          <w:i w:val="0"/>
          <w:sz w:val="20"/>
        </w:rPr>
        <w:t>≈ 6.5</w:t>
      </w:r>
      <w:r>
        <w:rPr>
          <w:rFonts w:ascii="Times New Roman" w:hAnsi="Times New Roman"/>
          <w:b w:val="0"/>
          <w:i w:val="0"/>
          <w:sz w:val="20"/>
        </w:rPr>
        <w:t>–</w:t>
      </w:r>
      <w:r>
        <w:rPr>
          <w:rFonts w:ascii="Times New Roman" w:hAnsi="Times New Roman"/>
          <w:b w:val="0"/>
          <w:i w:val="0"/>
          <w:sz w:val="20"/>
        </w:rPr>
        <w:t>7.4</w:t>
      </w:r>
      <w:r>
        <w:rPr>
          <w:rFonts w:ascii="Times New Roman" w:hAnsi="Times New Roman"/>
          <w:b w:val="0"/>
          <w:i w:val="0"/>
          <w:sz w:val="20"/>
        </w:rPr>
        <w:t>) and integer-density artefacts, with no residual continuous within-firm bimodality.</w:t>
      </w:r>
    </w:p>
    <w:p>
      <w:pPr>
        <w:spacing w:after="120"/>
      </w:pPr>
      <w:r>
        <w:rPr>
          <w:rFonts w:ascii="Times New Roman" w:hAnsi="Times New Roman"/>
          <w:b w:val="0"/>
          <w:i w:val="0"/>
          <w:sz w:val="20"/>
        </w:rPr>
        <w:t>Cosine analogue. The cosine axis follows the same pattern by construction: the within-firm signature-level cosine dip tests above (Scripts 39b, 39c) fail to reject in every Big-4 firm and in every eligible non-Big-4 firm, so any pooled cosine multimodality must arise from between-firm composition rather than from within-population bimodality.</w:t>
      </w:r>
    </w:p>
    <w:p>
      <w:pPr>
        <w:spacing w:after="120"/>
      </w:pPr>
      <w:r>
        <w:rPr>
          <w:rFonts w:ascii="Times New Roman" w:hAnsi="Times New Roman"/>
          <w:b w:val="0"/>
          <w:i w:val="0"/>
          <w:sz w:val="20"/>
        </w:rPr>
        <w:t xml:space="preserve">Integer-histogram valleys (Script 39d). A genuine within-firm dHash antimode would appear as a strict local minimum in the count histogram with deep relative depth. Within each of the four Big-4 firms, the dHash histogram on bins </w:t>
      </w:r>
      <w:r>
        <w:rPr>
          <w:rFonts w:ascii="Times New Roman" w:hAnsi="Times New Roman"/>
          <w:b w:val="0"/>
          <w:i w:val="0"/>
          <w:sz w:val="20"/>
        </w:rPr>
        <w:t>0</w:t>
      </w:r>
      <w:r>
        <w:rPr>
          <w:rFonts w:ascii="Times New Roman" w:hAnsi="Times New Roman"/>
          <w:b w:val="0"/>
          <w:i w:val="0"/>
          <w:sz w:val="20"/>
        </w:rPr>
        <w:t>–</w:t>
      </w:r>
      <w:r>
        <w:rPr>
          <w:rFonts w:ascii="Times New Roman" w:hAnsi="Times New Roman"/>
          <w:b w:val="0"/>
          <w:i w:val="0"/>
          <w:sz w:val="20"/>
        </w:rPr>
        <w:t>20</w:t>
      </w:r>
      <w:r>
        <w:rPr>
          <w:rFonts w:ascii="Times New Roman" w:hAnsi="Times New Roman"/>
          <w:b w:val="0"/>
          <w:i w:val="0"/>
          <w:sz w:val="20"/>
        </w:rPr>
        <w:t xml:space="preserve"> exhibits no strict local minimum; the Big-4 pooled histogram exhibits one shallow valley at </w:t>
      </w:r>
      <w:r>
        <w:rPr>
          <w:rFonts w:ascii="Times New Roman" w:hAnsi="Times New Roman"/>
          <w:b w:val="0"/>
          <w:i w:val="0"/>
          <w:sz w:val="20"/>
        </w:rPr>
        <w:t>dHash = 4</w:t>
      </w:r>
      <w:r>
        <w:rPr>
          <w:rFonts w:ascii="Times New Roman" w:hAnsi="Times New Roman"/>
          <w:b w:val="0"/>
          <w:i w:val="0"/>
          <w:sz w:val="20"/>
        </w:rPr>
        <w:t xml:space="preserve"> with relative depth </w:t>
      </w:r>
      <w:r>
        <w:rPr>
          <w:rFonts w:ascii="Times New Roman" w:hAnsi="Times New Roman"/>
          <w:b w:val="0"/>
          <w:i w:val="0"/>
          <w:sz w:val="20"/>
        </w:rPr>
        <w:t>0.021</w:t>
      </w:r>
      <w:r>
        <w:rPr>
          <w:rFonts w:ascii="Times New Roman" w:hAnsi="Times New Roman"/>
          <w:b w:val="0"/>
          <w:i w:val="0"/>
          <w:sz w:val="20"/>
        </w:rPr>
        <w:t xml:space="preserve"> (a </w:t>
      </w:r>
      <w:r>
        <w:rPr>
          <w:rFonts w:ascii="Times New Roman" w:hAnsi="Times New Roman"/>
          <w:b w:val="0"/>
          <w:i w:val="0"/>
          <w:sz w:val="20"/>
        </w:rPr>
        <w:t>2.1%</w:t>
      </w:r>
      <w:r>
        <w:rPr>
          <w:rFonts w:ascii="Times New Roman" w:hAnsi="Times New Roman"/>
          <w:b w:val="0"/>
          <w:i w:val="0"/>
          <w:sz w:val="20"/>
        </w:rPr>
        <w:t xml:space="preserve"> count drop). No valley near the deployed </w:t>
      </w:r>
      <w:r>
        <w:rPr>
          <w:rFonts w:ascii="Times New Roman" w:hAnsi="Times New Roman"/>
          <w:b w:val="0"/>
          <w:i w:val="0"/>
          <w:sz w:val="20"/>
        </w:rPr>
        <w:t>dHash = 5</w:t>
      </w:r>
      <w:r>
        <w:rPr>
          <w:rFonts w:ascii="Times New Roman" w:hAnsi="Times New Roman"/>
          <w:b w:val="0"/>
          <w:i w:val="0"/>
          <w:sz w:val="20"/>
        </w:rPr>
        <w:t xml:space="preserve"> operational boundary appears within any individual firm. The hypothesised dHash antimode near </w:t>
      </w:r>
      <w:r>
        <w:rPr>
          <w:rFonts w:ascii="Times New Roman" w:hAnsi="Times New Roman"/>
          <w:b w:val="0"/>
          <w:i w:val="0"/>
          <w:sz w:val="20"/>
        </w:rPr>
        <w:t>dHash ≈ 5</w:t>
      </w:r>
      <w:r>
        <w:rPr>
          <w:rFonts w:ascii="Times New Roman" w:hAnsi="Times New Roman"/>
          <w:b w:val="0"/>
          <w:i w:val="0"/>
          <w:sz w:val="20"/>
        </w:rPr>
        <w:t xml:space="preserve"> is not empirically supported by the histogram analysis.</w:t>
      </w:r>
    </w:p>
    <w:p>
      <w:pPr>
        <w:spacing w:after="120"/>
      </w:pPr>
      <w:r>
        <w:rPr>
          <w:rFonts w:ascii="Times New Roman" w:hAnsi="Times New Roman"/>
          <w:b w:val="0"/>
          <w:i w:val="0"/>
          <w:sz w:val="20"/>
        </w:rPr>
        <w:t xml:space="preserve">5. Conclusion: no natural threshold from the descriptor distribution. §III-I.4 jointly establishes that (a) the Big-4 accountant-level dip rejection is fully attributable to between-firm composition and integer mass-point artefacts; (b) within the Big-4 firms, the descriptor marginals at the signature level are unimodal once integer ties are broken (Scripts 39b, 39d); (c) eligible non-Big-4 checks provide corroborating raw-axis evidence on the cosine dimension (Script 39c) and corroborate the integer-mass-point reading of raw dHash, but are not used as calibration evidence for the deployed thresholds; and (d) no integer-histogram valley near the deployed </w:t>
      </w:r>
      <w:r>
        <w:rPr>
          <w:rFonts w:ascii="Times New Roman" w:hAnsi="Times New Roman"/>
          <w:b w:val="0"/>
          <w:i w:val="0"/>
          <w:sz w:val="20"/>
        </w:rPr>
        <w:t>dHash = 5</w:t>
      </w:r>
      <w:r>
        <w:rPr>
          <w:rFonts w:ascii="Times New Roman" w:hAnsi="Times New Roman"/>
          <w:b w:val="0"/>
          <w:i w:val="0"/>
          <w:sz w:val="20"/>
        </w:rPr>
        <w:t xml:space="preserve"> operational boundary exists within any Big-4 firm. The descriptor distributions therefore do not contain a within-population bimodal antimode that could anchor an operational threshold. The K=2 / K=3 mixture fits of §III-I.2 and §III-J are retained as descriptive partitions that reflect firm-composition contrast, not as inferential evidence for two or three population modes. §III-L develops the anchor-based threshold calibration framework, which derives operational rates from inter-CPA pair-level negative-anchor coincidences rather than from a distributional antimode.</w:t>
      </w:r>
    </w:p>
    <w:p>
      <w:pPr>
        <w:pStyle w:val="Heading2"/>
      </w:pPr>
      <w:r>
        <w:rPr>
          <w:color w:val="000000"/>
        </w:rPr>
        <w:t>J. K=3 as a Descriptive Partition of Firm-Composition Contrast</w:t>
      </w:r>
    </w:p>
    <w:p>
      <w:pPr>
        <w:spacing w:after="120"/>
      </w:pPr>
      <w:r>
        <w:rPr>
          <w:rFonts w:ascii="Times New Roman" w:hAnsi="Times New Roman"/>
          <w:b w:val="0"/>
          <w:i w:val="0"/>
          <w:sz w:val="20"/>
        </w:rPr>
        <w:t>This section develops the K=2 and K=3 Gaussian mixture fits to the Big-4 accountant-level distribution and clarifies their role. Both fits are descriptive partitions of the joint Big-4 distribution; they reflect firm-composition contrast — primarily Firm A versus Firms B, C, D — rather than within-population mechanism modes. §III-I.4 demonstrates that the apparent multimodality of the accountant-level marginals is fully explained by between-firm location shifts and integer mass-point artefacts, leaving no residual evidence for two or three latent within-population mechanism classes. Neither mixture is used to assign signature-level or document-level labels in the primary analysis. The operational classifier of §III-H.1 is calibrated in §III-L via inter-CPA negative-anchor coincidence rates, not via mixture-derived antimodes.</w:t>
      </w:r>
    </w:p>
    <w:p>
      <w:pPr>
        <w:spacing w:after="120"/>
      </w:pPr>
      <w:r>
        <w:rPr>
          <w:rFonts w:ascii="Times New Roman" w:hAnsi="Times New Roman"/>
          <w:b w:val="0"/>
          <w:i w:val="0"/>
          <w:sz w:val="20"/>
        </w:rPr>
        <w:t xml:space="preserve">K=2 fit. Two components at </w:t>
      </w:r>
      <w:r>
        <w:rPr>
          <w:rFonts w:ascii="Times New Roman" w:hAnsi="Times New Roman"/>
          <w:b w:val="0"/>
          <w:i w:val="0"/>
          <w:sz w:val="20"/>
        </w:rPr>
        <w:t>(cos, dHash) = (0.954, 7.14)</w:t>
      </w:r>
      <w:r>
        <w:rPr>
          <w:rFonts w:ascii="Times New Roman" w:hAnsi="Times New Roman"/>
          <w:b w:val="0"/>
          <w:i w:val="0"/>
          <w:sz w:val="20"/>
        </w:rPr>
        <w:t xml:space="preserve"> (weight </w:t>
      </w:r>
      <w:r>
        <w:rPr>
          <w:rFonts w:ascii="Times New Roman" w:hAnsi="Times New Roman"/>
          <w:b w:val="0"/>
          <w:i w:val="0"/>
          <w:sz w:val="20"/>
        </w:rPr>
        <w:t>0.689</w:t>
      </w:r>
      <w:r>
        <w:rPr>
          <w:rFonts w:ascii="Times New Roman" w:hAnsi="Times New Roman"/>
          <w:b w:val="0"/>
          <w:i w:val="0"/>
          <w:sz w:val="20"/>
        </w:rPr>
        <w:t xml:space="preserve">) and </w:t>
      </w:r>
      <w:r>
        <w:rPr>
          <w:rFonts w:ascii="Times New Roman" w:hAnsi="Times New Roman"/>
          <w:b w:val="0"/>
          <w:i w:val="0"/>
          <w:sz w:val="20"/>
        </w:rPr>
        <w:t>(0.983, 2.41)</w:t>
      </w:r>
      <w:r>
        <w:rPr>
          <w:rFonts w:ascii="Times New Roman" w:hAnsi="Times New Roman"/>
          <w:b w:val="0"/>
          <w:i w:val="0"/>
          <w:sz w:val="20"/>
        </w:rPr>
        <w:t xml:space="preserve"> (weight </w:t>
      </w:r>
      <w:r>
        <w:rPr>
          <w:rFonts w:ascii="Times New Roman" w:hAnsi="Times New Roman"/>
          <w:b w:val="0"/>
          <w:i w:val="0"/>
          <w:sz w:val="20"/>
        </w:rPr>
        <w:t>0.311</w:t>
      </w:r>
      <w:r>
        <w:rPr>
          <w:rFonts w:ascii="Times New Roman" w:hAnsi="Times New Roman"/>
          <w:b w:val="0"/>
          <w:i w:val="0"/>
          <w:sz w:val="20"/>
        </w:rPr>
        <w:t xml:space="preserve">) (Script 34). </w:t>
      </w:r>
      <w:r>
        <w:rPr>
          <w:rFonts w:ascii="Times New Roman" w:hAnsi="Times New Roman"/>
          <w:b w:val="0"/>
          <w:i w:val="0"/>
          <w:sz w:val="20"/>
        </w:rPr>
        <w:t>BIC(K=2) = -1108.45</w:t>
      </w:r>
      <w:r>
        <w:rPr>
          <w:rFonts w:ascii="Times New Roman" w:hAnsi="Times New Roman"/>
          <w:b w:val="0"/>
          <w:i w:val="0"/>
          <w:sz w:val="20"/>
        </w:rPr>
        <w:t xml:space="preserve">. Marginal crossings: </w:t>
      </w:r>
      <w:r>
        <w:rPr>
          <w:rFonts w:ascii="Times New Roman" w:hAnsi="Times New Roman"/>
          <w:b w:val="0"/>
          <w:i w:val="0"/>
          <w:sz w:val="20"/>
        </w:rPr>
        <w:t>cos^ = 0.9755</w:t>
      </w:r>
      <w:r>
        <w:rPr>
          <w:rFonts w:ascii="Times New Roman" w:hAnsi="Times New Roman"/>
          <w:b w:val="0"/>
          <w:i w:val="0"/>
          <w:sz w:val="20"/>
        </w:rPr>
        <w:t xml:space="preserve">, </w:t>
      </w:r>
      <w:r>
        <w:rPr>
          <w:rFonts w:ascii="Times New Roman" w:hAnsi="Times New Roman"/>
          <w:b w:val="0"/>
          <w:i w:val="0"/>
          <w:sz w:val="20"/>
        </w:rPr>
        <w:t>dHash^ = 3.755</w:t>
      </w:r>
      <w:r>
        <w:rPr>
          <w:rFonts w:ascii="Times New Roman" w:hAnsi="Times New Roman"/>
          <w:b w:val="0"/>
          <w:i w:val="0"/>
          <w:sz w:val="20"/>
        </w:rPr>
        <w:t>. We refer to the components by index rather than by mechanism labels, since §III-I.4 establishes that the K=2 separation is firm-compositional rather than mechanistic.</w:t>
      </w:r>
    </w:p>
    <w:p>
      <w:pPr>
        <w:spacing w:after="120"/>
      </w:pPr>
      <w:r>
        <w:rPr>
          <w:rFonts w:ascii="Times New Roman" w:hAnsi="Times New Roman"/>
          <w:b w:val="0"/>
          <w:i w:val="0"/>
          <w:sz w:val="20"/>
        </w:rPr>
        <w:t>K=3 fit. Three components, sorted by ascending cosine mean (Script 35; Script 38 reproduces):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Component</w:t>
            </w:r>
          </w:p>
        </w:tc>
        <w:tc>
          <w:tcPr>
            <w:tcW w:type="dxa" w:w="1728"/>
          </w:tcPr>
          <w:p>
            <w:pPr>
              <w:jc w:val="center"/>
            </w:pPr>
            <w:r/>
            <w:r>
              <w:rPr>
                <w:rFonts w:ascii="Times New Roman" w:hAnsi="Times New Roman"/>
                <w:b/>
                <w:i w:val="0"/>
                <w:sz w:val="16"/>
              </w:rPr>
              <w:t>cos</w:t>
            </w:r>
          </w:p>
        </w:tc>
        <w:tc>
          <w:tcPr>
            <w:tcW w:type="dxa" w:w="1728"/>
          </w:tcPr>
          <w:p>
            <w:pPr>
              <w:jc w:val="center"/>
            </w:pPr>
            <w:r/>
            <w:r>
              <w:rPr>
                <w:rFonts w:ascii="Times New Roman" w:hAnsi="Times New Roman"/>
                <w:b/>
                <w:i w:val="0"/>
                <w:sz w:val="16"/>
              </w:rPr>
              <w:t>dHash</w:t>
            </w:r>
          </w:p>
        </w:tc>
        <w:tc>
          <w:tcPr>
            <w:tcW w:type="dxa" w:w="1728"/>
          </w:tcPr>
          <w:p>
            <w:pPr>
              <w:jc w:val="center"/>
            </w:pPr>
            <w:r/>
            <w:r>
              <w:rPr>
                <w:rFonts w:ascii="Times New Roman" w:hAnsi="Times New Roman"/>
                <w:b/>
                <w:i w:val="0"/>
                <w:sz w:val="16"/>
              </w:rPr>
              <w:t>weight</w:t>
            </w:r>
          </w:p>
        </w:tc>
        <w:tc>
          <w:tcPr>
            <w:tcW w:type="dxa" w:w="1728"/>
          </w:tcPr>
          <w:p>
            <w:pPr>
              <w:jc w:val="center"/>
            </w:pPr>
            <w:r/>
            <w:r>
              <w:rPr>
                <w:rFonts w:ascii="Times New Roman" w:hAnsi="Times New Roman"/>
                <w:b/>
                <w:i w:val="0"/>
                <w:sz w:val="16"/>
              </w:rPr>
              <w:t>descriptive position</w:t>
            </w:r>
          </w:p>
        </w:tc>
      </w:tr>
      <w:tr>
        <w:tc>
          <w:tcPr>
            <w:tcW w:type="dxa" w:w="1728"/>
          </w:tcPr>
          <w:p>
            <w:pPr>
              <w:jc w:val="center"/>
            </w:pPr>
            <w:r/>
            <w:r>
              <w:rPr>
                <w:rFonts w:ascii="Times New Roman" w:hAnsi="Times New Roman"/>
                <w:b w:val="0"/>
                <w:i w:val="0"/>
                <w:sz w:val="16"/>
              </w:rPr>
              <w:t>C1</w:t>
            </w:r>
          </w:p>
        </w:tc>
        <w:tc>
          <w:tcPr>
            <w:tcW w:type="dxa" w:w="1728"/>
          </w:tcPr>
          <w:p>
            <w:pPr>
              <w:jc w:val="center"/>
            </w:pPr>
            <w:r/>
            <w:r>
              <w:rPr>
                <w:rFonts w:ascii="Times New Roman" w:hAnsi="Times New Roman"/>
                <w:b w:val="0"/>
                <w:i w:val="0"/>
                <w:sz w:val="16"/>
              </w:rPr>
              <w:t>0.9457</w:t>
            </w:r>
          </w:p>
        </w:tc>
        <w:tc>
          <w:tcPr>
            <w:tcW w:type="dxa" w:w="1728"/>
          </w:tcPr>
          <w:p>
            <w:pPr>
              <w:jc w:val="center"/>
            </w:pPr>
            <w:r/>
            <w:r>
              <w:rPr>
                <w:rFonts w:ascii="Times New Roman" w:hAnsi="Times New Roman"/>
                <w:b w:val="0"/>
                <w:i w:val="0"/>
                <w:sz w:val="16"/>
              </w:rPr>
              <w:t>9.17</w:t>
            </w:r>
          </w:p>
        </w:tc>
        <w:tc>
          <w:tcPr>
            <w:tcW w:type="dxa" w:w="1728"/>
          </w:tcPr>
          <w:p>
            <w:pPr>
              <w:jc w:val="center"/>
            </w:pPr>
            <w:r/>
            <w:r>
              <w:rPr>
                <w:rFonts w:ascii="Times New Roman" w:hAnsi="Times New Roman"/>
                <w:b w:val="0"/>
                <w:i w:val="0"/>
                <w:sz w:val="16"/>
              </w:rPr>
              <w:t>0.143</w:t>
            </w:r>
          </w:p>
        </w:tc>
        <w:tc>
          <w:tcPr>
            <w:tcW w:type="dxa" w:w="1728"/>
          </w:tcPr>
          <w:p>
            <w:pPr>
              <w:jc w:val="center"/>
            </w:pPr>
            <w:r/>
            <w:r>
              <w:rPr>
                <w:rFonts w:ascii="Times New Roman" w:hAnsi="Times New Roman"/>
                <w:b w:val="0"/>
                <w:i w:val="0"/>
                <w:sz w:val="16"/>
              </w:rPr>
              <w:t>low-cos / high-dHash corner</w:t>
            </w:r>
          </w:p>
        </w:tc>
      </w:tr>
      <w:tr>
        <w:tc>
          <w:tcPr>
            <w:tcW w:type="dxa" w:w="1728"/>
          </w:tcPr>
          <w:p>
            <w:pPr>
              <w:jc w:val="center"/>
            </w:pPr>
            <w:r/>
            <w:r>
              <w:rPr>
                <w:rFonts w:ascii="Times New Roman" w:hAnsi="Times New Roman"/>
                <w:b w:val="0"/>
                <w:i w:val="0"/>
                <w:sz w:val="16"/>
              </w:rPr>
              <w:t>C2</w:t>
            </w:r>
          </w:p>
        </w:tc>
        <w:tc>
          <w:tcPr>
            <w:tcW w:type="dxa" w:w="1728"/>
          </w:tcPr>
          <w:p>
            <w:pPr>
              <w:jc w:val="center"/>
            </w:pPr>
            <w:r/>
            <w:r>
              <w:rPr>
                <w:rFonts w:ascii="Times New Roman" w:hAnsi="Times New Roman"/>
                <w:b w:val="0"/>
                <w:i w:val="0"/>
                <w:sz w:val="16"/>
              </w:rPr>
              <w:t>0.9558</w:t>
            </w:r>
          </w:p>
        </w:tc>
        <w:tc>
          <w:tcPr>
            <w:tcW w:type="dxa" w:w="1728"/>
          </w:tcPr>
          <w:p>
            <w:pPr>
              <w:jc w:val="center"/>
            </w:pPr>
            <w:r/>
            <w:r>
              <w:rPr>
                <w:rFonts w:ascii="Times New Roman" w:hAnsi="Times New Roman"/>
                <w:b w:val="0"/>
                <w:i w:val="0"/>
                <w:sz w:val="16"/>
              </w:rPr>
              <w:t>6.66</w:t>
            </w:r>
          </w:p>
        </w:tc>
        <w:tc>
          <w:tcPr>
            <w:tcW w:type="dxa" w:w="1728"/>
          </w:tcPr>
          <w:p>
            <w:pPr>
              <w:jc w:val="center"/>
            </w:pPr>
            <w:r/>
            <w:r>
              <w:rPr>
                <w:rFonts w:ascii="Times New Roman" w:hAnsi="Times New Roman"/>
                <w:b w:val="0"/>
                <w:i w:val="0"/>
                <w:sz w:val="16"/>
              </w:rPr>
              <w:t>0.536</w:t>
            </w:r>
          </w:p>
        </w:tc>
        <w:tc>
          <w:tcPr>
            <w:tcW w:type="dxa" w:w="1728"/>
          </w:tcPr>
          <w:p>
            <w:pPr>
              <w:jc w:val="center"/>
            </w:pPr>
            <w:r/>
            <w:r>
              <w:rPr>
                <w:rFonts w:ascii="Times New Roman" w:hAnsi="Times New Roman"/>
                <w:b w:val="0"/>
                <w:i w:val="0"/>
                <w:sz w:val="16"/>
              </w:rPr>
              <w:t>central region</w:t>
            </w:r>
          </w:p>
        </w:tc>
      </w:tr>
      <w:tr>
        <w:tc>
          <w:tcPr>
            <w:tcW w:type="dxa" w:w="1728"/>
          </w:tcPr>
          <w:p>
            <w:pPr>
              <w:jc w:val="center"/>
            </w:pPr>
            <w:r/>
            <w:r>
              <w:rPr>
                <w:rFonts w:ascii="Times New Roman" w:hAnsi="Times New Roman"/>
                <w:b w:val="0"/>
                <w:i w:val="0"/>
                <w:sz w:val="16"/>
              </w:rPr>
              <w:t>C3</w:t>
            </w:r>
          </w:p>
        </w:tc>
        <w:tc>
          <w:tcPr>
            <w:tcW w:type="dxa" w:w="1728"/>
          </w:tcPr>
          <w:p>
            <w:pPr>
              <w:jc w:val="center"/>
            </w:pPr>
            <w:r/>
            <w:r>
              <w:rPr>
                <w:rFonts w:ascii="Times New Roman" w:hAnsi="Times New Roman"/>
                <w:b w:val="0"/>
                <w:i w:val="0"/>
                <w:sz w:val="16"/>
              </w:rPr>
              <w:t>0.9826</w:t>
            </w:r>
          </w:p>
        </w:tc>
        <w:tc>
          <w:tcPr>
            <w:tcW w:type="dxa" w:w="1728"/>
          </w:tcPr>
          <w:p>
            <w:pPr>
              <w:jc w:val="center"/>
            </w:pPr>
            <w:r/>
            <w:r>
              <w:rPr>
                <w:rFonts w:ascii="Times New Roman" w:hAnsi="Times New Roman"/>
                <w:b w:val="0"/>
                <w:i w:val="0"/>
                <w:sz w:val="16"/>
              </w:rPr>
              <w:t>2.41</w:t>
            </w:r>
          </w:p>
        </w:tc>
        <w:tc>
          <w:tcPr>
            <w:tcW w:type="dxa" w:w="1728"/>
          </w:tcPr>
          <w:p>
            <w:pPr>
              <w:jc w:val="center"/>
            </w:pPr>
            <w:r/>
            <w:r>
              <w:rPr>
                <w:rFonts w:ascii="Times New Roman" w:hAnsi="Times New Roman"/>
                <w:b w:val="0"/>
                <w:i w:val="0"/>
                <w:sz w:val="16"/>
              </w:rPr>
              <w:t>0.321</w:t>
            </w:r>
          </w:p>
        </w:tc>
        <w:tc>
          <w:tcPr>
            <w:tcW w:type="dxa" w:w="1728"/>
          </w:tcPr>
          <w:p>
            <w:pPr>
              <w:jc w:val="center"/>
            </w:pPr>
            <w:r/>
            <w:r>
              <w:rPr>
                <w:rFonts w:ascii="Times New Roman" w:hAnsi="Times New Roman"/>
                <w:b w:val="0"/>
                <w:i w:val="0"/>
                <w:sz w:val="16"/>
              </w:rPr>
              <w:t>high-cos / low-dHash corner</w:t>
            </w:r>
          </w:p>
        </w:tc>
      </w:tr>
    </w:tbl>
    <w:p/>
    <w:p>
      <w:pPr>
        <w:spacing w:after="120"/>
      </w:pPr>
      <w:r>
        <w:rPr>
          <w:rFonts w:ascii="Times New Roman" w:hAnsi="Times New Roman"/>
          <w:b w:val="0"/>
          <w:i w:val="0"/>
          <w:sz w:val="20"/>
        </w:rPr>
        <w:t>BIC(K=3) = -1111.93</w:t>
      </w:r>
      <w:r>
        <w:rPr>
          <w:rFonts w:ascii="Times New Roman" w:hAnsi="Times New Roman"/>
          <w:b w:val="0"/>
          <w:i w:val="0"/>
          <w:sz w:val="20"/>
        </w:rPr>
        <w:t xml:space="preserve">, lower than </w:t>
      </w:r>
      <w:r>
        <w:rPr>
          <w:rFonts w:ascii="Times New Roman" w:hAnsi="Times New Roman"/>
          <w:b w:val="0"/>
          <w:i w:val="0"/>
          <w:sz w:val="20"/>
        </w:rPr>
        <w:t>K=2</w:t>
      </w:r>
      <w:r>
        <w:rPr>
          <w:rFonts w:ascii="Times New Roman" w:hAnsi="Times New Roman"/>
          <w:b w:val="0"/>
          <w:i w:val="0"/>
          <w:sz w:val="20"/>
        </w:rPr>
        <w:t xml:space="preserve"> by </w:t>
      </w:r>
      <w:r>
        <w:rPr>
          <w:rFonts w:ascii="Times New Roman" w:hAnsi="Times New Roman"/>
          <w:b w:val="0"/>
          <w:i w:val="0"/>
          <w:sz w:val="20"/>
        </w:rPr>
        <w:t>3.48</w:t>
      </w:r>
      <w:r>
        <w:rPr>
          <w:rFonts w:ascii="Times New Roman" w:hAnsi="Times New Roman"/>
          <w:b w:val="0"/>
          <w:i w:val="0"/>
          <w:sz w:val="20"/>
        </w:rPr>
        <w:t xml:space="preserve"> (mild numerical preference for K=3 under standard BIC interpretation, but not by itself decisive). The "descriptive position" column refrains from any mechanism interpretation: §III-I.4 establishes that the cosine and dHash axes both lack within-population bimodality, so component centres are best interpreted as locations in a continuous descriptor space rather than as latent mechanism modes.</w:t>
      </w:r>
    </w:p>
    <w:p>
      <w:pPr>
        <w:spacing w:after="120"/>
      </w:pPr>
      <w:r>
        <w:rPr>
          <w:rFonts w:ascii="Times New Roman" w:hAnsi="Times New Roman"/>
          <w:b w:val="0"/>
          <w:i w:val="0"/>
          <w:sz w:val="20"/>
        </w:rPr>
        <w:t>Per-firm component composition (Script 35 firm × cluster cross-tab). The K=3 partition is dominated by firm membership:</w:t>
      </w:r>
    </w:p>
    <w:p>
      <w:pPr>
        <w:spacing w:after="80"/>
        <w:ind w:left="576" w:hanging="360"/>
      </w:pPr>
      <w:r>
        <w:rPr>
          <w:rFonts w:ascii="Times New Roman" w:hAnsi="Times New Roman"/>
          <w:b w:val="0"/>
          <w:i w:val="0"/>
          <w:sz w:val="20"/>
        </w:rPr>
        <w:t xml:space="preserve">•  Firm A: </w:t>
      </w:r>
      <w:r>
        <w:rPr>
          <w:rFonts w:ascii="Times New Roman" w:hAnsi="Times New Roman"/>
          <w:b w:val="0"/>
          <w:i w:val="0"/>
          <w:sz w:val="20"/>
        </w:rPr>
        <w:t>0%</w:t>
      </w:r>
      <w:r>
        <w:rPr>
          <w:rFonts w:ascii="Times New Roman" w:hAnsi="Times New Roman"/>
          <w:b w:val="0"/>
          <w:i w:val="0"/>
          <w:sz w:val="20"/>
        </w:rPr>
        <w:t xml:space="preserve"> C1, </w:t>
      </w:r>
      <w:r>
        <w:rPr>
          <w:rFonts w:ascii="Times New Roman" w:hAnsi="Times New Roman"/>
          <w:b w:val="0"/>
          <w:i w:val="0"/>
          <w:sz w:val="20"/>
        </w:rPr>
        <w:t>17.5%</w:t>
      </w:r>
      <w:r>
        <w:rPr>
          <w:rFonts w:ascii="Times New Roman" w:hAnsi="Times New Roman"/>
          <w:b w:val="0"/>
          <w:i w:val="0"/>
          <w:sz w:val="20"/>
        </w:rPr>
        <w:t xml:space="preserve"> C2, </w:t>
      </w:r>
      <w:r>
        <w:rPr>
          <w:rFonts w:ascii="Times New Roman" w:hAnsi="Times New Roman"/>
          <w:b w:val="0"/>
          <w:i w:val="0"/>
          <w:sz w:val="20"/>
        </w:rPr>
        <w:t>82.5%</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B: </w:t>
      </w:r>
      <w:r>
        <w:rPr>
          <w:rFonts w:ascii="Times New Roman" w:hAnsi="Times New Roman"/>
          <w:b w:val="0"/>
          <w:i w:val="0"/>
          <w:sz w:val="20"/>
        </w:rPr>
        <w:t>8.9%</w:t>
      </w:r>
      <w:r>
        <w:rPr>
          <w:rFonts w:ascii="Times New Roman" w:hAnsi="Times New Roman"/>
          <w:b w:val="0"/>
          <w:i w:val="0"/>
          <w:sz w:val="20"/>
        </w:rPr>
        <w:t xml:space="preserve"> C1, </w:t>
      </w:r>
      <w:r>
        <w:rPr>
          <w:rFonts w:ascii="Times New Roman" w:hAnsi="Times New Roman"/>
          <w:b w:val="0"/>
          <w:i w:val="0"/>
          <w:sz w:val="20"/>
        </w:rPr>
        <w:t>~ 78%</w:t>
      </w:r>
      <w:r>
        <w:rPr>
          <w:rFonts w:ascii="Times New Roman" w:hAnsi="Times New Roman"/>
          <w:b w:val="0"/>
          <w:i w:val="0"/>
          <w:sz w:val="20"/>
        </w:rPr>
        <w:t xml:space="preserve"> C2, </w:t>
      </w:r>
      <w:r>
        <w:rPr>
          <w:rFonts w:ascii="Times New Roman" w:hAnsi="Times New Roman"/>
          <w:b w:val="0"/>
          <w:i w:val="0"/>
          <w:sz w:val="20"/>
        </w:rPr>
        <w:t>~ 13%</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C: </w:t>
      </w:r>
      <w:r>
        <w:rPr>
          <w:rFonts w:ascii="Times New Roman" w:hAnsi="Times New Roman"/>
          <w:b w:val="0"/>
          <w:i w:val="0"/>
          <w:sz w:val="20"/>
        </w:rPr>
        <w:t>23.5%</w:t>
      </w:r>
      <w:r>
        <w:rPr>
          <w:rFonts w:ascii="Times New Roman" w:hAnsi="Times New Roman"/>
          <w:b w:val="0"/>
          <w:i w:val="0"/>
          <w:sz w:val="20"/>
        </w:rPr>
        <w:t xml:space="preserve"> C1, </w:t>
      </w:r>
      <w:r>
        <w:rPr>
          <w:rFonts w:ascii="Times New Roman" w:hAnsi="Times New Roman"/>
          <w:b w:val="0"/>
          <w:i w:val="0"/>
          <w:sz w:val="20"/>
        </w:rPr>
        <w:t>75.5%</w:t>
      </w:r>
      <w:r>
        <w:rPr>
          <w:rFonts w:ascii="Times New Roman" w:hAnsi="Times New Roman"/>
          <w:b w:val="0"/>
          <w:i w:val="0"/>
          <w:sz w:val="20"/>
        </w:rPr>
        <w:t xml:space="preserve"> C2, </w:t>
      </w:r>
      <w:r>
        <w:rPr>
          <w:rFonts w:ascii="Times New Roman" w:hAnsi="Times New Roman"/>
          <w:b w:val="0"/>
          <w:i w:val="0"/>
          <w:sz w:val="20"/>
        </w:rPr>
        <w:t>1.0%</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D: </w:t>
      </w:r>
      <w:r>
        <w:rPr>
          <w:rFonts w:ascii="Times New Roman" w:hAnsi="Times New Roman"/>
          <w:b w:val="0"/>
          <w:i w:val="0"/>
          <w:sz w:val="20"/>
        </w:rPr>
        <w:t>11.5%</w:t>
      </w:r>
      <w:r>
        <w:rPr>
          <w:rFonts w:ascii="Times New Roman" w:hAnsi="Times New Roman"/>
          <w:b w:val="0"/>
          <w:i w:val="0"/>
          <w:sz w:val="20"/>
        </w:rPr>
        <w:t xml:space="preserve"> C1, </w:t>
      </w:r>
      <w:r>
        <w:rPr>
          <w:rFonts w:ascii="Times New Roman" w:hAnsi="Times New Roman"/>
          <w:b w:val="0"/>
          <w:i w:val="0"/>
          <w:sz w:val="20"/>
        </w:rPr>
        <w:t>~ 84%</w:t>
      </w:r>
      <w:r>
        <w:rPr>
          <w:rFonts w:ascii="Times New Roman" w:hAnsi="Times New Roman"/>
          <w:b w:val="0"/>
          <w:i w:val="0"/>
          <w:sz w:val="20"/>
        </w:rPr>
        <w:t xml:space="preserve"> C2, </w:t>
      </w:r>
      <w:r>
        <w:rPr>
          <w:rFonts w:ascii="Times New Roman" w:hAnsi="Times New Roman"/>
          <w:b w:val="0"/>
          <w:i w:val="0"/>
          <w:sz w:val="20"/>
        </w:rPr>
        <w:t>~ 4.5%</w:t>
      </w:r>
      <w:r>
        <w:rPr>
          <w:rFonts w:ascii="Times New Roman" w:hAnsi="Times New Roman"/>
          <w:b w:val="0"/>
          <w:i w:val="0"/>
          <w:sz w:val="20"/>
        </w:rPr>
        <w:t xml:space="preserve"> C3</w:t>
      </w:r>
    </w:p>
    <w:p>
      <w:pPr>
        <w:spacing w:after="120"/>
      </w:pPr>
      <w:r>
        <w:rPr>
          <w:rFonts w:ascii="Times New Roman" w:hAnsi="Times New Roman"/>
          <w:b w:val="0"/>
          <w:i w:val="0"/>
          <w:sz w:val="20"/>
        </w:rPr>
        <w:t xml:space="preserve">Firm A accounts for </w:t>
      </w:r>
      <w:r>
        <w:rPr>
          <w:rFonts w:ascii="Times New Roman" w:hAnsi="Times New Roman"/>
          <w:b w:val="0"/>
          <w:i w:val="0"/>
          <w:sz w:val="20"/>
        </w:rPr>
        <w:t>141</w:t>
      </w:r>
      <w:r>
        <w:rPr>
          <w:rFonts w:ascii="Times New Roman" w:hAnsi="Times New Roman"/>
          <w:b w:val="0"/>
          <w:i w:val="0"/>
          <w:sz w:val="20"/>
        </w:rPr>
        <w:t xml:space="preserve"> of the </w:t>
      </w:r>
      <w:r>
        <w:rPr>
          <w:rFonts w:ascii="Times New Roman" w:hAnsi="Times New Roman"/>
          <w:b w:val="0"/>
          <w:i w:val="0"/>
          <w:sz w:val="20"/>
        </w:rPr>
        <w:t>143</w:t>
      </w:r>
      <w:r>
        <w:rPr>
          <w:rFonts w:ascii="Times New Roman" w:hAnsi="Times New Roman"/>
          <w:b w:val="0"/>
          <w:i w:val="0"/>
          <w:sz w:val="20"/>
        </w:rPr>
        <w:t xml:space="preserve"> C3-assigned CPAs; Firm C accounts for </w:t>
      </w:r>
      <w:r>
        <w:rPr>
          <w:rFonts w:ascii="Times New Roman" w:hAnsi="Times New Roman"/>
          <w:b w:val="0"/>
          <w:i w:val="0"/>
          <w:sz w:val="20"/>
        </w:rPr>
        <w:t>24</w:t>
      </w:r>
      <w:r>
        <w:rPr>
          <w:rFonts w:ascii="Times New Roman" w:hAnsi="Times New Roman"/>
          <w:b w:val="0"/>
          <w:i w:val="0"/>
          <w:sz w:val="20"/>
        </w:rPr>
        <w:t xml:space="preserve"> of the </w:t>
      </w:r>
      <w:r>
        <w:rPr>
          <w:rFonts w:ascii="Times New Roman" w:hAnsi="Times New Roman"/>
          <w:b w:val="0"/>
          <w:i w:val="0"/>
          <w:sz w:val="20"/>
        </w:rPr>
        <w:t>40</w:t>
      </w:r>
      <w:r>
        <w:rPr>
          <w:rFonts w:ascii="Times New Roman" w:hAnsi="Times New Roman"/>
          <w:b w:val="0"/>
          <w:i w:val="0"/>
          <w:sz w:val="20"/>
        </w:rPr>
        <w:t xml:space="preserve"> C1-assigned CPAs. The K=3 partition is therefore well-described as a firm-compositional decomposition: C3 is essentially "Firm A and any non-Firm-A CPA whose mean descriptors happen to land in the high-cos / low-dHash corner"; C1 is essentially "non-Firm-A CPAs whose mean descriptors land in the low-cos / high-dHash corner." The composition contrast that K=3 captures at the accountant level reappears at the deployment level in the cross-firm hit matrix of §III-L.4 (Script 44):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K=3 partition and the cross-firm hit matrix therefore describe the same underlying firm-compositional structure at two different units of analysis.</w:t>
      </w:r>
    </w:p>
    <w:p>
      <w:pPr>
        <w:spacing w:after="120"/>
      </w:pPr>
      <w:r>
        <w:rPr>
          <w:rFonts w:ascii="Times New Roman" w:hAnsi="Times New Roman"/>
          <w:b w:val="0"/>
          <w:i w:val="0"/>
          <w:sz w:val="20"/>
        </w:rPr>
        <w:t xml:space="preserve">Leave-one-firm-out stability (Scripts 36, 37). Leave-one-firm-out cross-validation shows that K=2 is unstable across folds: holding Firm A out gives a fold rule cos </w:t>
      </w:r>
      <w:r>
        <w:rPr>
          <w:rFonts w:ascii="Times New Roman" w:hAnsi="Times New Roman"/>
          <w:b w:val="0"/>
          <w:i w:val="0"/>
          <w:sz w:val="20"/>
        </w:rPr>
        <w:t>&gt; 0.938</w:t>
      </w:r>
      <w:r>
        <w:rPr>
          <w:rFonts w:ascii="Times New Roman" w:hAnsi="Times New Roman"/>
          <w:b w:val="0"/>
          <w:i w:val="0"/>
          <w:sz w:val="20"/>
        </w:rPr>
        <w:t xml:space="preserve"> AND dHash </w:t>
      </w:r>
      <w:r>
        <w:rPr>
          <w:rFonts w:ascii="Times New Roman" w:hAnsi="Times New Roman"/>
          <w:b w:val="0"/>
          <w:i w:val="0"/>
          <w:sz w:val="20"/>
        </w:rPr>
        <w:t>≤ 8.79</w:t>
      </w:r>
      <w:r>
        <w:rPr>
          <w:rFonts w:ascii="Times New Roman" w:hAnsi="Times New Roman"/>
          <w:b w:val="0"/>
          <w:i w:val="0"/>
          <w:sz w:val="20"/>
        </w:rPr>
        <w:t xml:space="preserve">, while holding any single non-Firm-A Big-4 firm out gives a fold rule near cos </w:t>
      </w:r>
      <w:r>
        <w:rPr>
          <w:rFonts w:ascii="Times New Roman" w:hAnsi="Times New Roman"/>
          <w:b w:val="0"/>
          <w:i w:val="0"/>
          <w:sz w:val="20"/>
        </w:rPr>
        <w:t>&gt; 0.975</w:t>
      </w:r>
      <w:r>
        <w:rPr>
          <w:rFonts w:ascii="Times New Roman" w:hAnsi="Times New Roman"/>
          <w:b w:val="0"/>
          <w:i w:val="0"/>
          <w:sz w:val="20"/>
        </w:rPr>
        <w:t xml:space="preserve"> AND dHash </w:t>
      </w:r>
      <w:r>
        <w:rPr>
          <w:rFonts w:ascii="Times New Roman" w:hAnsi="Times New Roman"/>
          <w:b w:val="0"/>
          <w:i w:val="0"/>
          <w:sz w:val="20"/>
        </w:rPr>
        <w:t>≤ 3.76</w:t>
      </w:r>
      <w:r>
        <w:rPr>
          <w:rFonts w:ascii="Times New Roman" w:hAnsi="Times New Roman"/>
          <w:b w:val="0"/>
          <w:i w:val="0"/>
          <w:sz w:val="20"/>
        </w:rPr>
        <w:t xml:space="preserve"> (Script 36). The maximum absolute deviation of the four fold cosine crossings from their across-fold mean is </w:t>
      </w:r>
      <w:r>
        <w:rPr>
          <w:rFonts w:ascii="Times New Roman" w:hAnsi="Times New Roman"/>
          <w:b w:val="0"/>
          <w:i w:val="0"/>
          <w:sz w:val="20"/>
        </w:rPr>
        <w:t>0.028</w:t>
      </w:r>
      <w:r>
        <w:rPr>
          <w:rFonts w:ascii="Times New Roman" w:hAnsi="Times New Roman"/>
          <w:b w:val="0"/>
          <w:i w:val="0"/>
          <w:sz w:val="20"/>
        </w:rPr>
        <w:t xml:space="preserve"> (the corresponding pairwise across-fold range is </w:t>
      </w:r>
      <w:r>
        <w:rPr>
          <w:rFonts w:ascii="Times New Roman" w:hAnsi="Times New Roman"/>
          <w:b w:val="0"/>
          <w:i w:val="0"/>
          <w:sz w:val="20"/>
        </w:rPr>
        <w:t>0.0376</w:t>
      </w:r>
      <w:r>
        <w:rPr>
          <w:rFonts w:ascii="Times New Roman" w:hAnsi="Times New Roman"/>
          <w:b w:val="0"/>
          <w:i w:val="0"/>
          <w:sz w:val="20"/>
        </w:rPr>
        <w:t xml:space="preserve">, from </w:t>
      </w:r>
      <w:r>
        <w:rPr>
          <w:rFonts w:ascii="Times New Roman" w:hAnsi="Times New Roman"/>
          <w:b w:val="0"/>
          <w:i w:val="0"/>
          <w:sz w:val="20"/>
        </w:rPr>
        <w:t>0.9380</w:t>
      </w:r>
      <w:r>
        <w:rPr>
          <w:rFonts w:ascii="Times New Roman" w:hAnsi="Times New Roman"/>
          <w:b w:val="0"/>
          <w:i w:val="0"/>
          <w:sz w:val="20"/>
        </w:rPr>
        <w:t xml:space="preserve"> for the held-out-Firm-A fold to </w:t>
      </w:r>
      <w:r>
        <w:rPr>
          <w:rFonts w:ascii="Times New Roman" w:hAnsi="Times New Roman"/>
          <w:b w:val="0"/>
          <w:i w:val="0"/>
          <w:sz w:val="20"/>
        </w:rPr>
        <w:t>0.9756</w:t>
      </w:r>
      <w:r>
        <w:rPr>
          <w:rFonts w:ascii="Times New Roman" w:hAnsi="Times New Roman"/>
          <w:b w:val="0"/>
          <w:i w:val="0"/>
          <w:sz w:val="20"/>
        </w:rPr>
        <w:t xml:space="preserve"> for the held-out-Firm-D fold; Script 36 stability summary). The </w:t>
      </w:r>
      <w:r>
        <w:rPr>
          <w:rFonts w:ascii="Times New Roman" w:hAnsi="Times New Roman"/>
          <w:b w:val="0"/>
          <w:i w:val="0"/>
          <w:sz w:val="20"/>
        </w:rPr>
        <w:t>0.028</w:t>
      </w:r>
      <w:r>
        <w:rPr>
          <w:rFonts w:ascii="Times New Roman" w:hAnsi="Times New Roman"/>
          <w:b w:val="0"/>
          <w:i w:val="0"/>
          <w:sz w:val="20"/>
        </w:rPr>
        <w:t xml:space="preserve"> value is </w:t>
      </w:r>
      <w:r>
        <w:rPr>
          <w:rFonts w:ascii="Times New Roman" w:hAnsi="Times New Roman"/>
          <w:b w:val="0"/>
          <w:i w:val="0"/>
          <w:sz w:val="20"/>
        </w:rPr>
        <w:t>5.6×</w:t>
      </w:r>
      <w:r>
        <w:rPr>
          <w:rFonts w:ascii="Times New Roman" w:hAnsi="Times New Roman"/>
          <w:b w:val="0"/>
          <w:i w:val="0"/>
          <w:sz w:val="20"/>
        </w:rPr>
        <w:t xml:space="preserve"> the report's </w:t>
      </w:r>
      <w:r>
        <w:rPr>
          <w:rFonts w:ascii="Times New Roman" w:hAnsi="Times New Roman"/>
          <w:b w:val="0"/>
          <w:i w:val="0"/>
          <w:sz w:val="20"/>
        </w:rPr>
        <w:t>0.005</w:t>
      </w:r>
      <w:r>
        <w:rPr>
          <w:rFonts w:ascii="Times New Roman" w:hAnsi="Times New Roman"/>
          <w:b w:val="0"/>
          <w:i w:val="0"/>
          <w:sz w:val="20"/>
        </w:rPr>
        <w:t xml:space="preserve"> across-fold stability tolerance. K=3 in contrast has a reproducible component shape: across the four folds the C1 cosine mean varies by at most </w:t>
      </w:r>
      <w:r>
        <w:rPr>
          <w:rFonts w:ascii="Times New Roman" w:hAnsi="Times New Roman"/>
          <w:b w:val="0"/>
          <w:i w:val="0"/>
          <w:sz w:val="20"/>
        </w:rPr>
        <w:t>0.005</w:t>
      </w:r>
      <w:r>
        <w:rPr>
          <w:rFonts w:ascii="Times New Roman" w:hAnsi="Times New Roman"/>
          <w:b w:val="0"/>
          <w:i w:val="0"/>
          <w:sz w:val="20"/>
        </w:rPr>
        <w:t xml:space="preserve">, the C1 dHash mean by at most </w:t>
      </w:r>
      <w:r>
        <w:rPr>
          <w:rFonts w:ascii="Times New Roman" w:hAnsi="Times New Roman"/>
          <w:b w:val="0"/>
          <w:i w:val="0"/>
          <w:sz w:val="20"/>
        </w:rPr>
        <w:t>0.96</w:t>
      </w:r>
      <w:r>
        <w:rPr>
          <w:rFonts w:ascii="Times New Roman" w:hAnsi="Times New Roman"/>
          <w:b w:val="0"/>
          <w:i w:val="0"/>
          <w:sz w:val="20"/>
        </w:rPr>
        <w:t xml:space="preserve">, and the C1 weight by at most </w:t>
      </w:r>
      <w:r>
        <w:rPr>
          <w:rFonts w:ascii="Times New Roman" w:hAnsi="Times New Roman"/>
          <w:b w:val="0"/>
          <w:i w:val="0"/>
          <w:sz w:val="20"/>
        </w:rPr>
        <w:t>0.023</w:t>
      </w:r>
      <w:r>
        <w:rPr>
          <w:rFonts w:ascii="Times New Roman" w:hAnsi="Times New Roman"/>
          <w:b w:val="0"/>
          <w:i w:val="0"/>
          <w:sz w:val="20"/>
        </w:rPr>
        <w:t xml:space="preserve"> (Script 37). K=3 hard-posterior membership for the held-out firm is composition-sensitive — for Firm C the held-out C1 rate is </w:t>
      </w:r>
      <w:r>
        <w:rPr>
          <w:rFonts w:ascii="Times New Roman" w:hAnsi="Times New Roman"/>
          <w:b w:val="0"/>
          <w:i w:val="0"/>
          <w:sz w:val="20"/>
        </w:rPr>
        <w:t>36.3%</w:t>
      </w:r>
      <w:r>
        <w:rPr>
          <w:rFonts w:ascii="Times New Roman" w:hAnsi="Times New Roman"/>
          <w:b w:val="0"/>
          <w:i w:val="0"/>
          <w:sz w:val="20"/>
        </w:rPr>
        <w:t xml:space="preserve"> vs the full-Big-4 baseline of </w:t>
      </w:r>
      <w:r>
        <w:rPr>
          <w:rFonts w:ascii="Times New Roman" w:hAnsi="Times New Roman"/>
          <w:b w:val="0"/>
          <w:i w:val="0"/>
          <w:sz w:val="20"/>
        </w:rPr>
        <w:t>23.5%</w:t>
      </w:r>
      <w:r>
        <w:rPr>
          <w:rFonts w:ascii="Times New Roman" w:hAnsi="Times New Roman"/>
          <w:b w:val="0"/>
          <w:i w:val="0"/>
          <w:sz w:val="20"/>
        </w:rPr>
        <w:t xml:space="preserve">, an absolute difference of </w:t>
      </w:r>
      <w:r>
        <w:rPr>
          <w:rFonts w:ascii="Times New Roman" w:hAnsi="Times New Roman"/>
          <w:b w:val="0"/>
          <w:i w:val="0"/>
          <w:sz w:val="20"/>
        </w:rPr>
        <w:t>12.8</w:t>
      </w:r>
      <w:r>
        <w:rPr>
          <w:rFonts w:ascii="Times New Roman" w:hAnsi="Times New Roman"/>
          <w:b w:val="0"/>
          <w:i w:val="0"/>
          <w:sz w:val="20"/>
        </w:rPr>
        <w:t xml:space="preserve"> pp; for Firm A the held-out C1 rate is </w:t>
      </w:r>
      <w:r>
        <w:rPr>
          <w:rFonts w:ascii="Times New Roman" w:hAnsi="Times New Roman"/>
          <w:b w:val="0"/>
          <w:i w:val="0"/>
          <w:sz w:val="20"/>
        </w:rPr>
        <w:t>4.7%</w:t>
      </w:r>
      <w:r>
        <w:rPr>
          <w:rFonts w:ascii="Times New Roman" w:hAnsi="Times New Roman"/>
          <w:b w:val="0"/>
          <w:i w:val="0"/>
          <w:sz w:val="20"/>
        </w:rPr>
        <w:t xml:space="preserve"> vs baseline </w:t>
      </w:r>
      <w:r>
        <w:rPr>
          <w:rFonts w:ascii="Times New Roman" w:hAnsi="Times New Roman"/>
          <w:b w:val="0"/>
          <w:i w:val="0"/>
          <w:sz w:val="20"/>
        </w:rPr>
        <w:t>0.0%</w:t>
      </w:r>
      <w:r>
        <w:rPr>
          <w:rFonts w:ascii="Times New Roman" w:hAnsi="Times New Roman"/>
          <w:b w:val="0"/>
          <w:i w:val="0"/>
          <w:sz w:val="20"/>
        </w:rPr>
        <w:t>; the report's own legend classifies this pattern as P2_PARTIAL ("the C1 cluster exists but membership is not well-predicted by the held-out fit"). We accordingly do not use K=3 hard-posterior membership as an operational label.</w:t>
      </w:r>
    </w:p>
    <w:p>
      <w:pPr>
        <w:spacing w:after="120"/>
      </w:pPr>
      <w:r>
        <w:rPr>
          <w:rFonts w:ascii="Times New Roman" w:hAnsi="Times New Roman"/>
          <w:b w:val="0"/>
          <w:i w:val="0"/>
          <w:sz w:val="20"/>
        </w:rPr>
        <w:t>We take the joint K=2 / K=3 LOOO evidence as supporting the following descriptive claims, all of which are used in §III-K and §V but none of which underwrites the operational classifier:</w:t>
      </w:r>
    </w:p>
    <w:p>
      <w:pPr>
        <w:spacing w:after="80"/>
        <w:ind w:left="576" w:hanging="360"/>
      </w:pPr>
      <w:r>
        <w:rPr>
          <w:rFonts w:ascii="Times New Roman" w:hAnsi="Times New Roman"/>
          <w:b w:val="0"/>
          <w:i w:val="0"/>
          <w:sz w:val="20"/>
        </w:rPr>
        <w:t xml:space="preserve">•  The Big-4 K=2 marginal crossing </w:t>
      </w:r>
      <w:r>
        <w:rPr>
          <w:rFonts w:ascii="Times New Roman" w:hAnsi="Times New Roman"/>
          <w:b w:val="0"/>
          <w:i w:val="0"/>
          <w:sz w:val="20"/>
        </w:rPr>
        <w:t>(0.975, 3.76)</w:t>
      </w:r>
      <w:r>
        <w:rPr>
          <w:rFonts w:ascii="Times New Roman" w:hAnsi="Times New Roman"/>
          <w:b w:val="0"/>
          <w:i w:val="0"/>
          <w:sz w:val="20"/>
        </w:rPr>
        <w:t xml:space="preserve"> is essentially a firm-mass separator between Firm A and Firms B + C + D, not a within-Big-4 mechanism boundary.</w:t>
      </w:r>
    </w:p>
    <w:p>
      <w:pPr>
        <w:spacing w:after="80"/>
        <w:ind w:left="576" w:hanging="360"/>
      </w:pPr>
      <w:r>
        <w:rPr>
          <w:rFonts w:ascii="Times New Roman" w:hAnsi="Times New Roman"/>
          <w:b w:val="0"/>
          <w:i w:val="0"/>
          <w:sz w:val="20"/>
        </w:rPr>
        <w:t xml:space="preserve">•  The Big-4 K=3 mixture exhibits a reproducible three-component component shape across LOOO folds at the descriptor-position level, with C1 reproducibly located at </w:t>
      </w:r>
      <w:r>
        <w:rPr>
          <w:rFonts w:ascii="Times New Roman" w:hAnsi="Times New Roman"/>
          <w:b w:val="0"/>
          <w:i w:val="0"/>
          <w:sz w:val="20"/>
        </w:rPr>
        <w:t>cos ≈ 0.946</w:t>
      </w:r>
      <w:r>
        <w:rPr>
          <w:rFonts w:ascii="Times New Roman" w:hAnsi="Times New Roman"/>
          <w:b w:val="0"/>
          <w:i w:val="0"/>
          <w:sz w:val="20"/>
        </w:rPr>
        <w:t xml:space="preserve">, </w:t>
      </w:r>
      <w:r>
        <w:rPr>
          <w:rFonts w:ascii="Times New Roman" w:hAnsi="Times New Roman"/>
          <w:b w:val="0"/>
          <w:i w:val="0"/>
          <w:sz w:val="20"/>
        </w:rPr>
        <w:t>dHash ≈ 9.17</w:t>
      </w:r>
      <w:r>
        <w:rPr>
          <w:rFonts w:ascii="Times New Roman" w:hAnsi="Times New Roman"/>
          <w:b w:val="0"/>
          <w:i w:val="0"/>
          <w:sz w:val="20"/>
        </w:rPr>
        <w:t>.</w:t>
      </w:r>
    </w:p>
    <w:p>
      <w:pPr>
        <w:spacing w:after="80"/>
        <w:ind w:left="576" w:hanging="360"/>
      </w:pPr>
      <w:r>
        <w:rPr>
          <w:rFonts w:ascii="Times New Roman" w:hAnsi="Times New Roman"/>
          <w:b w:val="0"/>
          <w:i w:val="0"/>
          <w:sz w:val="20"/>
        </w:rPr>
        <w:t xml:space="preserve">•  Hard-posterior K=3 membership is composition-sensitive across folds (max absolute deviation </w:t>
      </w:r>
      <w:r>
        <w:rPr>
          <w:rFonts w:ascii="Times New Roman" w:hAnsi="Times New Roman"/>
          <w:b w:val="0"/>
          <w:i w:val="0"/>
          <w:sz w:val="20"/>
        </w:rPr>
        <w:t>12.8</w:t>
      </w:r>
      <w:r>
        <w:rPr>
          <w:rFonts w:ascii="Times New Roman" w:hAnsi="Times New Roman"/>
          <w:b w:val="0"/>
          <w:i w:val="0"/>
          <w:sz w:val="20"/>
        </w:rPr>
        <w:t xml:space="preserve"> pp); K=3 is therefore not used to assign operational labels to CPAs.</w:t>
      </w:r>
    </w:p>
    <w:p>
      <w:pPr>
        <w:spacing w:after="120"/>
      </w:pPr>
      <w:r>
        <w:rPr>
          <w:rFonts w:ascii="Times New Roman" w:hAnsi="Times New Roman"/>
          <w:b w:val="0"/>
          <w:i w:val="0"/>
          <w:sz w:val="20"/>
        </w:rPr>
        <w:t>The operational signature-level classifier of §III-H.1 is calibrated in §III-L against inter-CPA pair-level negative-anchor coincidence rates, not against mixture-derived antimodes. Cross-checks between the deployed five-way box rule and the K=3 partition appear in §III-K.</w:t>
      </w:r>
    </w:p>
    <w:p>
      <w:pPr>
        <w:pStyle w:val="Heading2"/>
      </w:pPr>
      <w:r>
        <w:rPr>
          <w:color w:val="000000"/>
        </w:rPr>
        <w:t>K. Convergent Internal-Consistency Checks</w:t>
      </w:r>
    </w:p>
    <w:p>
      <w:pPr>
        <w:spacing w:after="120"/>
      </w:pPr>
      <w:r>
        <w:rPr>
          <w:rFonts w:ascii="Times New Roman" w:hAnsi="Times New Roman"/>
          <w:b w:val="0"/>
          <w:i w:val="0"/>
          <w:sz w:val="20"/>
        </w:rPr>
        <w:t xml:space="preserve">The descriptive partition of §III-J is supported by three feature-derived per-CPA scores and a conservative hard-positive subset analysis. We caution at the outset that the three scores are not statistically independent measurements — all three are deterministic functions of the same per-CPA descriptor means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 so their high pairwise rank correlations are partly a mechanical consequence of shared inputs. Per §III-I.4, none of the three scores has a within-population bimodality interpretation; they are firm-compositional position scores at the accountant level. The checks below therefore document internal consistency among feature-derived ranks, not external validation against an independent hand-signed ground truth (which the corpus does not provide).</w:t>
      </w:r>
    </w:p>
    <w:p>
      <w:pPr>
        <w:spacing w:after="120"/>
      </w:pPr>
      <w:r>
        <w:rPr>
          <w:rFonts w:ascii="Times New Roman" w:hAnsi="Times New Roman"/>
          <w:b w:val="0"/>
          <w:i w:val="0"/>
          <w:sz w:val="20"/>
        </w:rPr>
        <w:t>1. Three feature-derived per-CPA scores (Script 38). For each Big-4 CPA we compute:</w:t>
      </w:r>
    </w:p>
    <w:p>
      <w:pPr>
        <w:spacing w:after="80"/>
        <w:ind w:left="576" w:hanging="360"/>
      </w:pPr>
      <w:r>
        <w:rPr>
          <w:rFonts w:ascii="Times New Roman" w:hAnsi="Times New Roman"/>
          <w:b w:val="0"/>
          <w:i w:val="0"/>
          <w:sz w:val="20"/>
        </w:rPr>
        <w:t xml:space="preserve">•  Score 1 (K=3 posterior on the low-cos / high-dHash component): </w:t>
      </w:r>
      <w:r>
        <w:rPr>
          <w:rFonts w:ascii="Times New Roman" w:hAnsi="Times New Roman"/>
          <w:b w:val="0"/>
          <w:i w:val="0"/>
          <w:sz w:val="20"/>
        </w:rPr>
        <w:t>P(C1)</w:t>
      </w:r>
      <w:r>
        <w:rPr>
          <w:rFonts w:ascii="Times New Roman" w:hAnsi="Times New Roman"/>
          <w:b w:val="0"/>
          <w:i w:val="0"/>
          <w:sz w:val="20"/>
        </w:rPr>
        <w:t xml:space="preserve"> from the K=3 fit of §III-J. Per §III-J this is a firm-compositional position score on the (cos, dHash) plane (not a probability of any latent "hand-signing mechanism") — a function of both descriptor means.</w:t>
      </w:r>
    </w:p>
    <w:p>
      <w:pPr>
        <w:spacing w:after="80"/>
        <w:ind w:left="576" w:hanging="360"/>
      </w:pPr>
      <w:r>
        <w:rPr>
          <w:rFonts w:ascii="Times New Roman" w:hAnsi="Times New Roman"/>
          <w:b w:val="0"/>
          <w:i w:val="0"/>
          <w:sz w:val="20"/>
        </w:rPr>
        <w:t xml:space="preserve">•  Score 2 (reverse-anchor cosine percentile): the marginal cosine CDF value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under the non-Big-4 reference Gaussian of §III-H.2, sign-flipped so that lower percentile (further into the reference's left tail) corresponds to a Big-4 CPA whose mean cosine sits further from the templated end. This is a function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alone.</w:t>
      </w:r>
    </w:p>
    <w:p>
      <w:pPr>
        <w:spacing w:after="80"/>
        <w:ind w:left="576" w:hanging="360"/>
      </w:pPr>
      <w:r>
        <w:rPr>
          <w:rFonts w:ascii="Times New Roman" w:hAnsi="Times New Roman"/>
          <w:b w:val="0"/>
          <w:i w:val="0"/>
          <w:sz w:val="20"/>
        </w:rPr>
        <w:t xml:space="preserve">•  Score 3 (deployed binary high-confidence box rule rate): the per-CPA fraction of signatures that do not satisfy the deployed binary high-confidence box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This is a per-signature-aggregated function of the same descriptors.</w:t>
      </w:r>
    </w:p>
    <w:p>
      <w:pPr>
        <w:spacing w:after="120"/>
      </w:pPr>
      <w:r>
        <w:rPr>
          <w:rFonts w:ascii="Times New Roman" w:hAnsi="Times New Roman"/>
          <w:b w:val="0"/>
          <w:i w:val="0"/>
          <w:sz w:val="20"/>
        </w:rPr>
        <w:t xml:space="preserve">Pairwise Spearman rank correlations among the three scores, </w:t>
      </w:r>
      <w:r>
        <w:rPr>
          <w:rFonts w:ascii="Times New Roman" w:hAnsi="Times New Roman"/>
          <w:b w:val="0"/>
          <w:i w:val="0"/>
          <w:sz w:val="20"/>
        </w:rPr>
        <w:t>n = 437</w:t>
      </w:r>
      <w:r>
        <w:rPr>
          <w:rFonts w:ascii="Times New Roman" w:hAnsi="Times New Roman"/>
          <w:b w:val="0"/>
          <w:i w:val="0"/>
          <w:sz w:val="20"/>
        </w:rPr>
        <w:t xml:space="preserve"> Big-4 CPAs (Script 38):</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Pair</w:t>
            </w:r>
          </w:p>
        </w:tc>
        <w:tc>
          <w:tcPr>
            <w:tcW w:type="dxa" w:w="2880"/>
          </w:tcPr>
          <w:p>
            <w:pPr>
              <w:jc w:val="center"/>
            </w:pPr>
            <w:r/>
            <w:r>
              <w:rPr>
                <w:rFonts w:ascii="Times New Roman" w:hAnsi="Times New Roman"/>
                <w:b/>
                <w:i w:val="0"/>
                <w:sz w:val="16"/>
              </w:rPr>
              <w:t xml:space="preserve">Spearman </w:t>
            </w:r>
            <w:r>
              <w:rPr>
                <w:rFonts w:ascii="Times New Roman" w:hAnsi="Times New Roman"/>
                <w:b/>
                <w:i w:val="0"/>
                <w:sz w:val="16"/>
              </w:rPr>
              <w:t>ρ</w:t>
            </w:r>
          </w:p>
        </w:tc>
        <w:tc>
          <w:tcPr>
            <w:tcW w:type="dxa" w:w="2880"/>
          </w:tcPr>
          <w:p>
            <w:pPr>
              <w:jc w:val="center"/>
            </w:pPr>
            <w:r/>
            <w:r>
              <w:rPr>
                <w:rFonts w:ascii="Times New Roman" w:hAnsi="Times New Roman"/>
                <w:b/>
                <w:i w:val="0"/>
                <w:sz w:val="16"/>
              </w:rPr>
              <w:t>p</w:t>
            </w:r>
            <w:r>
              <w:rPr>
                <w:rFonts w:ascii="Times New Roman" w:hAnsi="Times New Roman"/>
                <w:b/>
                <w:i w:val="0"/>
                <w:sz w:val="16"/>
              </w:rPr>
              <w:t>-value</w:t>
            </w:r>
          </w:p>
        </w:tc>
      </w:tr>
      <w:tr>
        <w:tc>
          <w:tcPr>
            <w:tcW w:type="dxa" w:w="2880"/>
          </w:tcPr>
          <w:p>
            <w:pPr>
              <w:jc w:val="center"/>
            </w:pPr>
            <w:r/>
            <w:r>
              <w:rPr>
                <w:rFonts w:ascii="Times New Roman" w:hAnsi="Times New Roman"/>
                <w:b w:val="0"/>
                <w:i w:val="0"/>
                <w:sz w:val="16"/>
              </w:rPr>
              <w:t>Score 1 vs Score 3</w:t>
            </w:r>
          </w:p>
        </w:tc>
        <w:tc>
          <w:tcPr>
            <w:tcW w:type="dxa" w:w="2880"/>
          </w:tcPr>
          <w:p>
            <w:pPr>
              <w:jc w:val="center"/>
            </w:pPr>
            <w:r/>
            <w:r>
              <w:rPr>
                <w:rFonts w:ascii="Times New Roman" w:hAnsi="Times New Roman"/>
                <w:b w:val="0"/>
                <w:i w:val="0"/>
                <w:sz w:val="16"/>
              </w:rPr>
              <w:t>+0.9627</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880"/>
          </w:tcPr>
          <w:p>
            <w:pPr>
              <w:jc w:val="center"/>
            </w:pPr>
            <w:r/>
            <w:r>
              <w:rPr>
                <w:rFonts w:ascii="Times New Roman" w:hAnsi="Times New Roman"/>
                <w:b w:val="0"/>
                <w:i w:val="0"/>
                <w:sz w:val="16"/>
              </w:rPr>
              <w:t>Score 2 vs Score 3</w:t>
            </w:r>
          </w:p>
        </w:tc>
        <w:tc>
          <w:tcPr>
            <w:tcW w:type="dxa" w:w="2880"/>
          </w:tcPr>
          <w:p>
            <w:pPr>
              <w:jc w:val="center"/>
            </w:pPr>
            <w:r/>
            <w:r>
              <w:rPr>
                <w:rFonts w:ascii="Times New Roman" w:hAnsi="Times New Roman"/>
                <w:b w:val="0"/>
                <w:i w:val="0"/>
                <w:sz w:val="16"/>
              </w:rPr>
              <w:t>+0.8890</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-149</w:t>
            </w:r>
          </w:p>
        </w:tc>
      </w:tr>
      <w:tr>
        <w:tc>
          <w:tcPr>
            <w:tcW w:type="dxa" w:w="2880"/>
          </w:tcPr>
          <w:p>
            <w:pPr>
              <w:jc w:val="center"/>
            </w:pPr>
            <w:r/>
            <w:r>
              <w:rPr>
                <w:rFonts w:ascii="Times New Roman" w:hAnsi="Times New Roman"/>
                <w:b w:val="0"/>
                <w:i w:val="0"/>
                <w:sz w:val="16"/>
              </w:rPr>
              <w:t>Score 1 vs Score 2</w:t>
            </w:r>
          </w:p>
        </w:tc>
        <w:tc>
          <w:tcPr>
            <w:tcW w:type="dxa" w:w="2880"/>
          </w:tcPr>
          <w:p>
            <w:pPr>
              <w:jc w:val="center"/>
            </w:pPr>
            <w:r/>
            <w:r>
              <w:rPr>
                <w:rFonts w:ascii="Times New Roman" w:hAnsi="Times New Roman"/>
                <w:b w:val="0"/>
                <w:i w:val="0"/>
                <w:sz w:val="16"/>
              </w:rPr>
              <w:t>+0.8794</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-142</w:t>
            </w:r>
          </w:p>
        </w:tc>
      </w:tr>
    </w:tbl>
    <w:p/>
    <w:p>
      <w:pPr>
        <w:spacing w:after="120"/>
      </w:pPr>
      <w:r>
        <w:rPr>
          <w:rFonts w:ascii="Times New Roman" w:hAnsi="Times New Roman"/>
          <w:b w:val="0"/>
          <w:i w:val="0"/>
          <w:sz w:val="20"/>
        </w:rPr>
        <w:t xml:space="preserve">We read this as the strongest internal-consistency signal in the analysis: three different summarisations of the same descriptor pair agree on the per-CPA descriptor-position ranking with </w:t>
      </w:r>
      <w:r>
        <w:rPr>
          <w:rFonts w:ascii="Times New Roman" w:hAnsi="Times New Roman"/>
          <w:b w:val="0"/>
          <w:i w:val="0"/>
          <w:sz w:val="20"/>
        </w:rPr>
        <w:t>ρ &gt; 0.87</w:t>
      </w:r>
      <w:r>
        <w:rPr>
          <w:rFonts w:ascii="Times New Roman" w:hAnsi="Times New Roman"/>
          <w:b w:val="0"/>
          <w:i w:val="0"/>
          <w:sz w:val="20"/>
        </w:rPr>
        <w:t xml:space="preserve">. The three scores agree on placing Firm A as the most replication-dominated descriptor position and the three non-Firm-A Big-4 firms further from the templated end, but they do not all rank the non-Firm-A firms identically: the K=3 posterior P(C1) and the box-rule less-replication-dominated rate (Scores 1 and 3) place Firm C at the less-replication-dominated end of Big-4 (mean P(C1) </w:t>
      </w:r>
      <w:r>
        <w:rPr>
          <w:rFonts w:ascii="Times New Roman" w:hAnsi="Times New Roman"/>
          <w:b w:val="0"/>
          <w:i w:val="0"/>
          <w:sz w:val="20"/>
        </w:rPr>
        <w:t>= 0.311</w:t>
      </w:r>
      <w:r>
        <w:rPr>
          <w:rFonts w:ascii="Times New Roman" w:hAnsi="Times New Roman"/>
          <w:b w:val="0"/>
          <w:i w:val="0"/>
          <w:sz w:val="20"/>
        </w:rPr>
        <w:t xml:space="preserve">; mean box-rule less-replication-dominated rate </w:t>
      </w:r>
      <w:r>
        <w:rPr>
          <w:rFonts w:ascii="Times New Roman" w:hAnsi="Times New Roman"/>
          <w:b w:val="0"/>
          <w:i w:val="0"/>
          <w:sz w:val="20"/>
        </w:rPr>
        <w:t>= 0.790</w:t>
      </w:r>
      <w:r>
        <w:rPr>
          <w:rFonts w:ascii="Times New Roman" w:hAnsi="Times New Roman"/>
          <w:b w:val="0"/>
          <w:i w:val="0"/>
          <w:sz w:val="20"/>
        </w:rPr>
        <w:t xml:space="preserve">), while the reverse-anchor cosine percentile (Score 2) places Firm D fractionally higher than Firm C (mean reverse-anchor score </w:t>
      </w:r>
      <w:r>
        <w:rPr>
          <w:rFonts w:ascii="Times New Roman" w:hAnsi="Times New Roman"/>
          <w:b w:val="0"/>
          <w:i w:val="0"/>
          <w:sz w:val="20"/>
        </w:rPr>
        <w:t>-0.7125</w:t>
      </w:r>
      <w:r>
        <w:rPr>
          <w:rFonts w:ascii="Times New Roman" w:hAnsi="Times New Roman"/>
          <w:b w:val="0"/>
          <w:i w:val="0"/>
          <w:sz w:val="20"/>
        </w:rPr>
        <w:t xml:space="preserve"> vs Firm C </w:t>
      </w:r>
      <w:r>
        <w:rPr>
          <w:rFonts w:ascii="Times New Roman" w:hAnsi="Times New Roman"/>
          <w:b w:val="0"/>
          <w:i w:val="0"/>
          <w:sz w:val="20"/>
        </w:rPr>
        <w:t>-0.7672</w:t>
      </w:r>
      <w:r>
        <w:rPr>
          <w:rFonts w:ascii="Times New Roman" w:hAnsi="Times New Roman"/>
          <w:b w:val="0"/>
          <w:i w:val="0"/>
          <w:sz w:val="20"/>
        </w:rPr>
        <w:t>, with higher value indicating deeper into the reference left tail). The mean values for Firms B and D sit between Firms A and C on Scores 1 and 3 (Script 38 per-firm summary). We do not claim this constitutes external validation of any operational classifier; the deployed box rule is calibrated separately (§III-L), and the convergence above shows that a mixture-derived score and a reverse-anchor score concur with the box rule's per-CPA-aggregated outputs on the directional ordering, with a modest disagreement at the less-replication-dominated end between the three non-A Big-4 firms.</w:t>
      </w:r>
    </w:p>
    <w:p>
      <w:pPr>
        <w:spacing w:after="120"/>
      </w:pPr>
      <w:r>
        <w:rPr>
          <w:rFonts w:ascii="Times New Roman" w:hAnsi="Times New Roman"/>
          <w:b w:val="0"/>
          <w:i w:val="0"/>
          <w:sz w:val="20"/>
        </w:rPr>
        <w:t xml:space="preserve">2. Per-signature consistency (Script 39). Per-CPA aggregation could in principle reflect averaging across within-CPA heterogeneity rather than coherent within-CPA behaviour. We test this by repeating the K=3 fit at the signature level — fitting a fresh K=3 GMM to the 150,442 Big-4 signature-level </w:t>
      </w:r>
      <w:r>
        <w:rPr>
          <w:rFonts w:ascii="Times New Roman" w:hAnsi="Times New Roman"/>
          <w:b w:val="0"/>
          <w:i w:val="0"/>
          <w:sz w:val="20"/>
        </w:rPr>
        <w:t>(cos, dHash</w:t>
      </w:r>
      <w:r>
        <w:rPr>
          <w:rFonts w:ascii="Times New Roman" w:hAnsi="Times New Roman"/>
          <w:b w:val="0"/>
          <w:i w:val="0"/>
          <w:sz w:val="20"/>
          <w:vertAlign w:val="subscript"/>
        </w:rPr>
        <w:t>indep</w:t>
      </w:r>
      <w:r>
        <w:rPr>
          <w:rFonts w:ascii="Times New Roman" w:hAnsi="Times New Roman"/>
          <w:b w:val="0"/>
          <w:i w:val="0"/>
          <w:sz w:val="20"/>
        </w:rPr>
        <w:t>)</w:t>
      </w:r>
      <w:r>
        <w:rPr>
          <w:rFonts w:ascii="Times New Roman" w:hAnsi="Times New Roman"/>
          <w:b w:val="0"/>
          <w:i w:val="0"/>
          <w:sz w:val="20"/>
        </w:rPr>
        <w:t xml:space="preserve"> points (Script 39) — and comparing labels. The per-CPA and per-signature K=3 fits recover a broadly similar three-component ordering; per-CPA C1 is at </w:t>
      </w:r>
      <w:r>
        <w:rPr>
          <w:rFonts w:ascii="Times New Roman" w:hAnsi="Times New Roman"/>
          <w:b w:val="0"/>
          <w:i w:val="0"/>
          <w:sz w:val="20"/>
        </w:rPr>
        <w:t>cos = 0.946</w:t>
      </w:r>
      <w:r>
        <w:rPr>
          <w:rFonts w:ascii="Times New Roman" w:hAnsi="Times New Roman"/>
          <w:b w:val="0"/>
          <w:i w:val="0"/>
          <w:sz w:val="20"/>
        </w:rPr>
        <w:t xml:space="preserve">, </w:t>
      </w:r>
      <w:r>
        <w:rPr>
          <w:rFonts w:ascii="Times New Roman" w:hAnsi="Times New Roman"/>
          <w:b w:val="0"/>
          <w:i w:val="0"/>
          <w:sz w:val="20"/>
        </w:rPr>
        <w:t>dHash = 9.17</w:t>
      </w:r>
      <w:r>
        <w:rPr>
          <w:rFonts w:ascii="Times New Roman" w:hAnsi="Times New Roman"/>
          <w:b w:val="0"/>
          <w:i w:val="0"/>
          <w:sz w:val="20"/>
        </w:rPr>
        <w:t xml:space="preserve"> vs per-signature C1 at </w:t>
      </w:r>
      <w:r>
        <w:rPr>
          <w:rFonts w:ascii="Times New Roman" w:hAnsi="Times New Roman"/>
          <w:b w:val="0"/>
          <w:i w:val="0"/>
          <w:sz w:val="20"/>
        </w:rPr>
        <w:t>cos = 0.928</w:t>
      </w:r>
      <w:r>
        <w:rPr>
          <w:rFonts w:ascii="Times New Roman" w:hAnsi="Times New Roman"/>
          <w:b w:val="0"/>
          <w:i w:val="0"/>
          <w:sz w:val="20"/>
        </w:rPr>
        <w:t xml:space="preserve">, </w:t>
      </w:r>
      <w:r>
        <w:rPr>
          <w:rFonts w:ascii="Times New Roman" w:hAnsi="Times New Roman"/>
          <w:b w:val="0"/>
          <w:i w:val="0"/>
          <w:sz w:val="20"/>
        </w:rPr>
        <w:t>dHash = 9.75</w:t>
      </w:r>
      <w:r>
        <w:rPr>
          <w:rFonts w:ascii="Times New Roman" w:hAnsi="Times New Roman"/>
          <w:b w:val="0"/>
          <w:i w:val="0"/>
          <w:sz w:val="20"/>
        </w:rPr>
        <w:t xml:space="preserve"> (an absolute cosine drift of </w:t>
      </w:r>
      <w:r>
        <w:rPr>
          <w:rFonts w:ascii="Times New Roman" w:hAnsi="Times New Roman"/>
          <w:b w:val="0"/>
          <w:i w:val="0"/>
          <w:sz w:val="20"/>
        </w:rPr>
        <w:t>0.018</w:t>
      </w:r>
      <w:r>
        <w:rPr>
          <w:rFonts w:ascii="Times New Roman" w:hAnsi="Times New Roman"/>
          <w:b w:val="0"/>
          <w:i w:val="0"/>
          <w:sz w:val="20"/>
        </w:rPr>
        <w:t xml:space="preserve">). Cohen </w:t>
      </w:r>
      <w:r>
        <w:rPr>
          <w:rFonts w:ascii="Times New Roman" w:hAnsi="Times New Roman"/>
          <w:b w:val="0"/>
          <w:i w:val="0"/>
          <w:sz w:val="20"/>
        </w:rPr>
        <w:t>κ</w:t>
      </w:r>
      <w:r>
        <w:rPr>
          <w:rFonts w:ascii="Times New Roman" w:hAnsi="Times New Roman"/>
          <w:b w:val="0"/>
          <w:i w:val="0"/>
          <w:sz w:val="20"/>
        </w:rPr>
        <w:t xml:space="preserve"> on the binary collapse (replication-dominated vs less-replication-dominated):</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Pair</w:t>
            </w:r>
          </w:p>
        </w:tc>
        <w:tc>
          <w:tcPr>
            <w:tcW w:type="dxa" w:w="4320"/>
          </w:tcPr>
          <w:p>
            <w:pPr>
              <w:jc w:val="center"/>
            </w:pPr>
            <w:r/>
            <w:r>
              <w:rPr>
                <w:rFonts w:ascii="Times New Roman" w:hAnsi="Times New Roman"/>
                <w:b/>
                <w:i w:val="0"/>
                <w:sz w:val="16"/>
              </w:rPr>
              <w:t xml:space="preserve">Cohen </w:t>
            </w:r>
            <w:r>
              <w:rPr>
                <w:rFonts w:ascii="Times New Roman" w:hAnsi="Times New Roman"/>
                <w:b/>
                <w:i w:val="0"/>
                <w:sz w:val="16"/>
              </w:rPr>
              <w:t>κ</w:t>
            </w:r>
          </w:p>
        </w:tc>
      </w:tr>
      <w:tr>
        <w:tc>
          <w:tcPr>
            <w:tcW w:type="dxa" w:w="4320"/>
          </w:tcPr>
          <w:p>
            <w:pPr>
              <w:jc w:val="center"/>
            </w:pPr>
            <w:r/>
            <w:r>
              <w:rPr>
                <w:rFonts w:ascii="Times New Roman" w:hAnsi="Times New Roman"/>
                <w:b w:val="0"/>
                <w:i w:val="0"/>
                <w:sz w:val="16"/>
              </w:rPr>
              <w:t>Deployed binary high-confidence box rule vs per-CPA K=3 hard label</w:t>
            </w:r>
          </w:p>
        </w:tc>
        <w:tc>
          <w:tcPr>
            <w:tcW w:type="dxa" w:w="4320"/>
          </w:tcPr>
          <w:p>
            <w:pPr>
              <w:jc w:val="center"/>
            </w:pPr>
            <w:r/>
            <w:r>
              <w:rPr>
                <w:rFonts w:ascii="Times New Roman" w:hAnsi="Times New Roman"/>
                <w:b w:val="0"/>
                <w:i w:val="0"/>
                <w:sz w:val="16"/>
              </w:rPr>
              <w:t>0.662</w:t>
            </w:r>
          </w:p>
        </w:tc>
      </w:tr>
      <w:tr>
        <w:tc>
          <w:tcPr>
            <w:tcW w:type="dxa" w:w="4320"/>
          </w:tcPr>
          <w:p>
            <w:pPr>
              <w:jc w:val="center"/>
            </w:pPr>
            <w:r/>
            <w:r>
              <w:rPr>
                <w:rFonts w:ascii="Times New Roman" w:hAnsi="Times New Roman"/>
                <w:b w:val="0"/>
                <w:i w:val="0"/>
                <w:sz w:val="16"/>
              </w:rPr>
              <w:t>Deployed binary high-confidence box rule vs per-signature K=3 hard label</w:t>
            </w:r>
          </w:p>
        </w:tc>
        <w:tc>
          <w:tcPr>
            <w:tcW w:type="dxa" w:w="4320"/>
          </w:tcPr>
          <w:p>
            <w:pPr>
              <w:jc w:val="center"/>
            </w:pPr>
            <w:r/>
            <w:r>
              <w:rPr>
                <w:rFonts w:ascii="Times New Roman" w:hAnsi="Times New Roman"/>
                <w:b w:val="0"/>
                <w:i w:val="0"/>
                <w:sz w:val="16"/>
              </w:rPr>
              <w:t>0.559</w:t>
            </w:r>
          </w:p>
        </w:tc>
      </w:tr>
      <w:tr>
        <w:tc>
          <w:tcPr>
            <w:tcW w:type="dxa" w:w="4320"/>
          </w:tcPr>
          <w:p>
            <w:pPr>
              <w:jc w:val="center"/>
            </w:pPr>
            <w:r/>
            <w:r>
              <w:rPr>
                <w:rFonts w:ascii="Times New Roman" w:hAnsi="Times New Roman"/>
                <w:b w:val="0"/>
                <w:i w:val="0"/>
                <w:sz w:val="16"/>
              </w:rPr>
              <w:t>Per-CPA K=3 vs per-signature K=3</w:t>
            </w:r>
          </w:p>
        </w:tc>
        <w:tc>
          <w:tcPr>
            <w:tcW w:type="dxa" w:w="4320"/>
          </w:tcPr>
          <w:p>
            <w:pPr>
              <w:jc w:val="center"/>
            </w:pPr>
            <w:r/>
            <w:r>
              <w:rPr>
                <w:rFonts w:ascii="Times New Roman" w:hAnsi="Times New Roman"/>
                <w:b w:val="0"/>
                <w:i w:val="0"/>
                <w:sz w:val="16"/>
              </w:rPr>
              <w:t>0.870</w:t>
            </w:r>
          </w:p>
        </w:tc>
      </w:tr>
    </w:tbl>
    <w:p/>
    <w:p>
      <w:pPr>
        <w:spacing w:after="120"/>
      </w:pPr>
      <w:r>
        <w:rPr>
          <w:rFonts w:ascii="Times New Roman" w:hAnsi="Times New Roman"/>
          <w:b w:val="0"/>
          <w:i w:val="0"/>
          <w:sz w:val="20"/>
        </w:rPr>
        <w:t xml:space="preserve">The </w:t>
      </w:r>
      <w:r>
        <w:rPr>
          <w:rFonts w:ascii="Times New Roman" w:hAnsi="Times New Roman"/>
          <w:b w:val="0"/>
          <w:i w:val="0"/>
          <w:sz w:val="20"/>
        </w:rPr>
        <w:t>κ = 0.870</w:t>
      </w:r>
      <w:r>
        <w:rPr>
          <w:rFonts w:ascii="Times New Roman" w:hAnsi="Times New Roman"/>
          <w:b w:val="0"/>
          <w:i w:val="0"/>
          <w:sz w:val="20"/>
        </w:rPr>
        <w:t xml:space="preserve"> between per-CPA-fit and per-signature-fit K=3 binary labels indicates that per-CPA aggregation does not collapse the broad three-component ordering. The lower </w:t>
      </w:r>
      <w:r>
        <w:rPr>
          <w:rFonts w:ascii="Times New Roman" w:hAnsi="Times New Roman"/>
          <w:b w:val="0"/>
          <w:i w:val="0"/>
          <w:sz w:val="20"/>
        </w:rPr>
        <w:t>κ = 0.56–0.66</w:t>
      </w:r>
      <w:r>
        <w:rPr>
          <w:rFonts w:ascii="Times New Roman" w:hAnsi="Times New Roman"/>
          <w:b w:val="0"/>
          <w:i w:val="0"/>
          <w:sz w:val="20"/>
        </w:rPr>
        <w:t xml:space="preserve"> between the binary box rule and either K=3 fit is consistent with two factors: different decision geometries (rectangular box vs Gaussian-mixture posterior boundary), and the fact that the binary box rule is a strict subset of the five-way rule. This comparison checks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§III-K does not directly check the five-way rule's 5 &lt; dHash ≤ 15 moderate-confidence band, whose calibration and capture-rate evidence is reported in the supplementary materials and not regenerated on the Big-4 subset.</w:t>
      </w:r>
    </w:p>
    <w:p>
      <w:pPr>
        <w:spacing w:after="120"/>
      </w:pPr>
      <w:r>
        <w:rPr>
          <w:rFonts w:ascii="Times New Roman" w:hAnsi="Times New Roman"/>
          <w:b w:val="0"/>
          <w:i w:val="0"/>
          <w:sz w:val="20"/>
        </w:rPr>
        <w:t>3. Leave-one-firm-out reproducibility (Scripts 36, 37). Discussed in §III-J above. We summarise the joint result for cross-reference:</w:t>
      </w:r>
    </w:p>
    <w:p>
      <w:pPr>
        <w:spacing w:after="80"/>
        <w:ind w:left="576" w:hanging="360"/>
      </w:pPr>
      <w:r>
        <w:rPr>
          <w:rFonts w:ascii="Times New Roman" w:hAnsi="Times New Roman"/>
          <w:b w:val="0"/>
          <w:i w:val="0"/>
          <w:sz w:val="20"/>
        </w:rPr>
        <w:t xml:space="preserve">•  K=2 LOOO is unstable. The maximum absolute deviation of the four fold cosine crossings from their across-fold mean is </w:t>
      </w:r>
      <w:r>
        <w:rPr>
          <w:rFonts w:ascii="Times New Roman" w:hAnsi="Times New Roman"/>
          <w:b w:val="0"/>
          <w:i w:val="0"/>
          <w:sz w:val="20"/>
        </w:rPr>
        <w:t>0.028</w:t>
      </w:r>
      <w:r>
        <w:rPr>
          <w:rFonts w:ascii="Times New Roman" w:hAnsi="Times New Roman"/>
          <w:b w:val="0"/>
          <w:i w:val="0"/>
          <w:sz w:val="20"/>
        </w:rPr>
        <w:t xml:space="preserve">, against the report's </w:t>
      </w:r>
      <w:r>
        <w:rPr>
          <w:rFonts w:ascii="Times New Roman" w:hAnsi="Times New Roman"/>
          <w:b w:val="0"/>
          <w:i w:val="0"/>
          <w:sz w:val="20"/>
        </w:rPr>
        <w:t>0.005</w:t>
      </w:r>
      <w:r>
        <w:rPr>
          <w:rFonts w:ascii="Times New Roman" w:hAnsi="Times New Roman"/>
          <w:b w:val="0"/>
          <w:i w:val="0"/>
          <w:sz w:val="20"/>
        </w:rPr>
        <w:t xml:space="preserve"> across-fold stability tolerance (Script 36; pairwise fold range </w:t>
      </w:r>
      <w:r>
        <w:rPr>
          <w:rFonts w:ascii="Times New Roman" w:hAnsi="Times New Roman"/>
          <w:b w:val="0"/>
          <w:i w:val="0"/>
          <w:sz w:val="20"/>
        </w:rPr>
        <w:t>0.0376</w:t>
      </w:r>
      <w:r>
        <w:rPr>
          <w:rFonts w:ascii="Times New Roman" w:hAnsi="Times New Roman"/>
          <w:b w:val="0"/>
          <w:i w:val="0"/>
          <w:sz w:val="20"/>
        </w:rPr>
        <w:t xml:space="preserve">, from </w:t>
      </w:r>
      <w:r>
        <w:rPr>
          <w:rFonts w:ascii="Times New Roman" w:hAnsi="Times New Roman"/>
          <w:b w:val="0"/>
          <w:i w:val="0"/>
          <w:sz w:val="20"/>
        </w:rPr>
        <w:t>0.9380</w:t>
      </w:r>
      <w:r>
        <w:rPr>
          <w:rFonts w:ascii="Times New Roman" w:hAnsi="Times New Roman"/>
          <w:b w:val="0"/>
          <w:i w:val="0"/>
          <w:sz w:val="20"/>
        </w:rPr>
        <w:t xml:space="preserve"> to </w:t>
      </w:r>
      <w:r>
        <w:rPr>
          <w:rFonts w:ascii="Times New Roman" w:hAnsi="Times New Roman"/>
          <w:b w:val="0"/>
          <w:i w:val="0"/>
          <w:sz w:val="20"/>
        </w:rPr>
        <w:t>0.9756</w:t>
      </w:r>
      <w:r>
        <w:rPr>
          <w:rFonts w:ascii="Times New Roman" w:hAnsi="Times New Roman"/>
          <w:b w:val="0"/>
          <w:i w:val="0"/>
          <w:sz w:val="20"/>
        </w:rPr>
        <w:t xml:space="preserve">). When Firm A is held out, the fold rule classifies </w:t>
      </w:r>
      <w:r>
        <w:rPr>
          <w:rFonts w:ascii="Times New Roman" w:hAnsi="Times New Roman"/>
          <w:b w:val="0"/>
          <w:i w:val="0"/>
          <w:sz w:val="20"/>
        </w:rPr>
        <w:t>171/171</w:t>
      </w:r>
      <w:r>
        <w:rPr>
          <w:rFonts w:ascii="Times New Roman" w:hAnsi="Times New Roman"/>
          <w:b w:val="0"/>
          <w:i w:val="0"/>
          <w:sz w:val="20"/>
        </w:rPr>
        <w:t xml:space="preserve"> of held-out Firm A CPAs as templated; when any non-Firm-A Big-4 firm is held out, the fold rule classifies </w:t>
      </w:r>
      <w:r>
        <w:rPr>
          <w:rFonts w:ascii="Times New Roman" w:hAnsi="Times New Roman"/>
          <w:b w:val="0"/>
          <w:i w:val="0"/>
          <w:sz w:val="20"/>
        </w:rPr>
        <w:t>0</w:t>
      </w:r>
      <w:r>
        <w:rPr>
          <w:rFonts w:ascii="Times New Roman" w:hAnsi="Times New Roman"/>
          <w:b w:val="0"/>
          <w:i w:val="0"/>
          <w:sz w:val="20"/>
        </w:rPr>
        <w:t xml:space="preserve"> of the held-out firm's CPAs as templated. This pattern indicates the K=2 boundary is essentially a Firm-A-vs-others separator rather than a within-Big-4 mechanism boundary.</w:t>
      </w:r>
    </w:p>
    <w:p>
      <w:pPr>
        <w:spacing w:after="80"/>
        <w:ind w:left="576" w:hanging="360"/>
      </w:pPr>
      <w:r>
        <w:rPr>
          <w:rFonts w:ascii="Times New Roman" w:hAnsi="Times New Roman"/>
          <w:b w:val="0"/>
          <w:i w:val="0"/>
          <w:sz w:val="20"/>
        </w:rPr>
        <w:t xml:space="preserve">•  K=3 LOOO is partially stable. The C1 (low-cos / high-dHash) component shape is reproducible across folds: max deviation from the full-Big-4 baseline is </w:t>
      </w:r>
      <w:r>
        <w:rPr>
          <w:rFonts w:ascii="Times New Roman" w:hAnsi="Times New Roman"/>
          <w:b w:val="0"/>
          <w:i w:val="0"/>
          <w:sz w:val="20"/>
        </w:rPr>
        <w:t>0.005</w:t>
      </w:r>
      <w:r>
        <w:rPr>
          <w:rFonts w:ascii="Times New Roman" w:hAnsi="Times New Roman"/>
          <w:b w:val="0"/>
          <w:i w:val="0"/>
          <w:sz w:val="20"/>
        </w:rPr>
        <w:t xml:space="preserve"> in cosine, </w:t>
      </w:r>
      <w:r>
        <w:rPr>
          <w:rFonts w:ascii="Times New Roman" w:hAnsi="Times New Roman"/>
          <w:b w:val="0"/>
          <w:i w:val="0"/>
          <w:sz w:val="20"/>
        </w:rPr>
        <w:t>0.96</w:t>
      </w:r>
      <w:r>
        <w:rPr>
          <w:rFonts w:ascii="Times New Roman" w:hAnsi="Times New Roman"/>
          <w:b w:val="0"/>
          <w:i w:val="0"/>
          <w:sz w:val="20"/>
        </w:rPr>
        <w:t xml:space="preserve"> in dHash, and </w:t>
      </w:r>
      <w:r>
        <w:rPr>
          <w:rFonts w:ascii="Times New Roman" w:hAnsi="Times New Roman"/>
          <w:b w:val="0"/>
          <w:i w:val="0"/>
          <w:sz w:val="20"/>
        </w:rPr>
        <w:t>0.023</w:t>
      </w:r>
      <w:r>
        <w:rPr>
          <w:rFonts w:ascii="Times New Roman" w:hAnsi="Times New Roman"/>
          <w:b w:val="0"/>
          <w:i w:val="0"/>
          <w:sz w:val="20"/>
        </w:rPr>
        <w:t xml:space="preserve"> in mixture weight (Script 37). Hard-posterior membership remains composition-sensitive — observed absolute differences are </w:t>
      </w:r>
      <w:r>
        <w:rPr>
          <w:rFonts w:ascii="Times New Roman" w:hAnsi="Times New Roman"/>
          <w:b w:val="0"/>
          <w:i w:val="0"/>
          <w:sz w:val="20"/>
        </w:rPr>
        <w:t>1.8</w:t>
      </w:r>
      <w:r>
        <w:rPr>
          <w:rFonts w:ascii="Times New Roman" w:hAnsi="Times New Roman"/>
          <w:b w:val="0"/>
          <w:i w:val="0"/>
          <w:sz w:val="20"/>
        </w:rPr>
        <w:t>–</w:t>
      </w:r>
      <w:r>
        <w:rPr>
          <w:rFonts w:ascii="Times New Roman" w:hAnsi="Times New Roman"/>
          <w:b w:val="0"/>
          <w:i w:val="0"/>
          <w:sz w:val="20"/>
        </w:rPr>
        <w:t>12.8</w:t>
      </w:r>
      <w:r>
        <w:rPr>
          <w:rFonts w:ascii="Times New Roman" w:hAnsi="Times New Roman"/>
          <w:b w:val="0"/>
          <w:i w:val="0"/>
          <w:sz w:val="20"/>
        </w:rPr>
        <w:t xml:space="preserve"> pp across the four folds, with the Firm C fold exceeding the report's </w:t>
      </w:r>
      <w:r>
        <w:rPr>
          <w:rFonts w:ascii="Times New Roman" w:hAnsi="Times New Roman"/>
          <w:b w:val="0"/>
          <w:i w:val="0"/>
          <w:sz w:val="20"/>
        </w:rPr>
        <w:t>5</w:t>
      </w:r>
      <w:r>
        <w:rPr>
          <w:rFonts w:ascii="Times New Roman" w:hAnsi="Times New Roman"/>
          <w:b w:val="0"/>
          <w:i w:val="0"/>
          <w:sz w:val="20"/>
        </w:rPr>
        <w:t xml:space="preserve"> pp viability bar; the report's own screening label is P2_PARTIAL ("K=3 is not predictively useful as an operational classifier"). We accordingly do not use K=3 hard-posterior membership as an operational label.</w:t>
      </w:r>
    </w:p>
    <w:p>
      <w:pPr>
        <w:spacing w:after="120"/>
      </w:pPr>
      <w:r>
        <w:rPr>
          <w:rFonts w:ascii="Times New Roman" w:hAnsi="Times New Roman"/>
          <w:b w:val="0"/>
          <w:i w:val="0"/>
          <w:sz w:val="20"/>
        </w:rPr>
        <w:t xml:space="preserve">4. Positive-anchor miss rate on byte-identical signatures (Script 40). The corpus provides one conservative hard-positive subset: signatures whose nearest same-CPA match is byte-identical after crop and normalisation. Independent hand-signing cannot produce pixel-identical images, so byte-identical signatures are a conservative hard-positive subset for image replication. The Big-4 byte-identical subset comprises </w:t>
      </w:r>
      <w:r>
        <w:rPr>
          <w:rFonts w:ascii="Times New Roman" w:hAnsi="Times New Roman"/>
          <w:b w:val="0"/>
          <w:i w:val="0"/>
          <w:sz w:val="20"/>
        </w:rPr>
        <w:t>n = 262</w:t>
      </w:r>
      <w:r>
        <w:rPr>
          <w:rFonts w:ascii="Times New Roman" w:hAnsi="Times New Roman"/>
          <w:b w:val="0"/>
          <w:i w:val="0"/>
          <w:sz w:val="20"/>
        </w:rPr>
        <w:t xml:space="preserve"> signatures (</w:t>
      </w:r>
      <w:r>
        <w:rPr>
          <w:rFonts w:ascii="Times New Roman" w:hAnsi="Times New Roman"/>
          <w:b w:val="0"/>
          <w:i w:val="0"/>
          <w:sz w:val="20"/>
        </w:rPr>
        <w:t>145 / 8 / 107 / 2</w:t>
      </w:r>
      <w:r>
        <w:rPr>
          <w:rFonts w:ascii="Times New Roman" w:hAnsi="Times New Roman"/>
          <w:b w:val="0"/>
          <w:i w:val="0"/>
          <w:sz w:val="20"/>
        </w:rPr>
        <w:t xml:space="preserve"> across Firms A through D; Script 40).</w:t>
      </w:r>
    </w:p>
    <w:p>
      <w:pPr>
        <w:spacing w:after="120"/>
      </w:pPr>
      <w:r>
        <w:rPr>
          <w:rFonts w:ascii="Times New Roman" w:hAnsi="Times New Roman"/>
          <w:b w:val="0"/>
          <w:i w:val="0"/>
          <w:sz w:val="20"/>
        </w:rPr>
        <w:t>We report each candidate check's positive-anchor miss rate — the fraction of byte-identical signatures classified as belonging to the less-replication-dominated descriptor positions. This is a one-sided check against a conservative positive subset, not a paired specificity metric in the usual two-class sense; we do not report a paired negative-anchor metric here because no signature-level hand-signed ground truth exists. The corresponding signature-level inter-CPA negative-anchor ICCR evidence is developed in §III-L.1 (Big-4 sample) and the corpus-wide version cited at §IV-I:</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Candidate check</w:t>
            </w:r>
          </w:p>
        </w:tc>
        <w:tc>
          <w:tcPr>
            <w:tcW w:type="dxa" w:w="4320"/>
          </w:tcPr>
          <w:p>
            <w:pPr>
              <w:jc w:val="center"/>
            </w:pPr>
            <w:r/>
            <w:r>
              <w:rPr>
                <w:rFonts w:ascii="Times New Roman" w:hAnsi="Times New Roman"/>
                <w:b/>
                <w:i w:val="0"/>
                <w:sz w:val="16"/>
              </w:rPr>
              <w:t>Pixel-identity miss rate (Wilson 95% CI)</w:t>
            </w:r>
          </w:p>
        </w:tc>
      </w:tr>
      <w:tr>
        <w:tc>
          <w:tcPr>
            <w:tcW w:type="dxa" w:w="432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r>
        <w:tc>
          <w:tcPr>
            <w:tcW w:type="dxa" w:w="4320"/>
          </w:tcPr>
          <w:p>
            <w:pPr>
              <w:jc w:val="center"/>
            </w:pPr>
            <w:r/>
            <w:r>
              <w:rPr>
                <w:rFonts w:ascii="Times New Roman" w:hAnsi="Times New Roman"/>
                <w:b w:val="0"/>
                <w:i w:val="0"/>
                <w:sz w:val="16"/>
              </w:rPr>
              <w:t>K=3 per-CPA hard label (C3 high-cos / low-dHash corner; descriptive only)</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r>
        <w:tc>
          <w:tcPr>
            <w:tcW w:type="dxa" w:w="4320"/>
          </w:tcPr>
          <w:p>
            <w:pPr>
              <w:jc w:val="center"/>
            </w:pPr>
            <w:r/>
            <w:r>
              <w:rPr>
                <w:rFonts w:ascii="Times New Roman" w:hAnsi="Times New Roman"/>
                <w:b w:val="0"/>
                <w:i w:val="0"/>
                <w:sz w:val="16"/>
              </w:rPr>
              <w:t>Reverse-anchor with prevalence-calibrated cut</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bl>
    <w:p/>
    <w:p>
      <w:pPr>
        <w:spacing w:after="120"/>
      </w:pPr>
      <w:r>
        <w:rPr>
          <w:rFonts w:ascii="Times New Roman" w:hAnsi="Times New Roman"/>
          <w:b w:val="0"/>
          <w:i w:val="0"/>
          <w:sz w:val="20"/>
        </w:rPr>
        <w:t xml:space="preserve">All three candidate scores correctly assign every byte-identical signature to the replicated class. We caution that for the box rule this result is close to tautological: byte-identical nearest-neighbour signatures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by construction, so any threshold strictly below cos </w:t>
      </w:r>
      <w:r>
        <w:rPr>
          <w:rFonts w:ascii="Times New Roman" w:hAnsi="Times New Roman"/>
          <w:b w:val="0"/>
          <w:i w:val="0"/>
          <w:sz w:val="20"/>
        </w:rPr>
        <w:t>= 1</w:t>
      </w:r>
      <w:r>
        <w:rPr>
          <w:rFonts w:ascii="Times New Roman" w:hAnsi="Times New Roman"/>
          <w:b w:val="0"/>
          <w:i w:val="0"/>
          <w:sz w:val="20"/>
        </w:rPr>
        <w:t xml:space="preserve"> and strictly above dHash </w:t>
      </w:r>
      <w:r>
        <w:rPr>
          <w:rFonts w:ascii="Times New Roman" w:hAnsi="Times New Roman"/>
          <w:b w:val="0"/>
          <w:i w:val="0"/>
          <w:sz w:val="20"/>
        </w:rPr>
        <w:t>= 0</w:t>
      </w:r>
      <w:r>
        <w:rPr>
          <w:rFonts w:ascii="Times New Roman" w:hAnsi="Times New Roman"/>
          <w:b w:val="0"/>
          <w:i w:val="0"/>
          <w:sz w:val="20"/>
        </w:rPr>
        <w:t xml:space="preserve"> will capture them. The positive-anchor miss rate is therefore a necessary check (a classifier that failed this check would be disqualified), not a sufficient validation of the classifier's behaviour on the non-byte-identical replicated population. The reverse-anchor cut here is chosen by prevalence calibration against the box rule's overall replicated rate (</w:t>
      </w:r>
      <w:r>
        <w:rPr>
          <w:rFonts w:ascii="Times New Roman" w:hAnsi="Times New Roman"/>
          <w:b w:val="0"/>
          <w:i w:val="0"/>
          <w:sz w:val="20"/>
        </w:rPr>
        <w:t>49.58%</w:t>
      </w:r>
      <w:r>
        <w:rPr>
          <w:rFonts w:ascii="Times New Roman" w:hAnsi="Times New Roman"/>
          <w:b w:val="0"/>
          <w:i w:val="0"/>
          <w:sz w:val="20"/>
        </w:rPr>
        <w:t xml:space="preserve"> of Big-4 signatures); this is a documented limitation since no signature-level hand-signed ground truth exists to permit direct ROC optimisation.</w:t>
      </w:r>
    </w:p>
    <w:p>
      <w:pPr>
        <w:pStyle w:val="Heading2"/>
      </w:pPr>
      <w:r>
        <w:rPr>
          <w:color w:val="000000"/>
        </w:rPr>
        <w:t>L. Anchor-Based Threshold Calibration</w:t>
      </w:r>
    </w:p>
    <w:p>
      <w:pPr>
        <w:spacing w:after="120"/>
      </w:pPr>
      <w:r>
        <w:rPr>
          <w:rFonts w:ascii="Times New Roman" w:hAnsi="Times New Roman"/>
          <w:b w:val="0"/>
          <w:i w:val="0"/>
          <w:sz w:val="20"/>
        </w:rPr>
        <w:t>The operational classifier defined in §III-H.1 is calibrated by characterising the deployed thresholds' inter-CPA pair-level negative-anchor coincidence behaviour and their pool-normalised per-signature and per-document alert behaviour, at multiple units of analysis. §III-I.4 establishes that the descriptor distributions do not contain a within-population bimodal antimode that could anchor an operational threshold; the K=3 mixture of §III-J is a descriptive firm-compositional partition, not a mechanism-cluster model. Throughout this section we report inter-CPA coincidence rates rather than "False Acceptance Rates"; we explain the terminological choice in §III-L.0.</w:t>
      </w:r>
    </w:p>
    <w:p>
      <w:pPr>
        <w:pStyle w:val="Heading3"/>
      </w:pPr>
      <w:r>
        <w:rPr>
          <w:color w:val="000000"/>
        </w:rPr>
        <w:t>L.0. Calibration methodology</w:t>
      </w:r>
    </w:p>
    <w:p>
      <w:pPr>
        <w:spacing w:after="120"/>
      </w:pPr>
      <w:r>
        <w:rPr>
          <w:rFonts w:ascii="Times New Roman" w:hAnsi="Times New Roman"/>
          <w:b w:val="0"/>
          <w:i w:val="0"/>
          <w:sz w:val="20"/>
        </w:rPr>
        <w:t xml:space="preserve">Calibration role of the present analysis. The deployed thresholds of §III-H.1 preserve continuity with the existing literature and the supplementary calibration evidence. §III-I.4 establishes that a recalibration cannot be anchored on distributional antimodes (no within-population bimodality exists); §III-L.1 below characterises the cosine threshold's specificity-proxy behaviour at the inter-CPA pair level and the structural-dimension threshold </w:t>
      </w:r>
      <w:r>
        <w:rPr>
          <w:rFonts w:ascii="Times New Roman" w:hAnsi="Times New Roman"/>
          <w:b w:val="0"/>
          <w:i w:val="0"/>
          <w:sz w:val="20"/>
        </w:rPr>
        <w:t>dHash ≤ 5</w:t>
      </w:r>
      <w:r>
        <w:rPr>
          <w:rFonts w:ascii="Times New Roman" w:hAnsi="Times New Roman"/>
          <w:b w:val="0"/>
          <w:i w:val="0"/>
          <w:sz w:val="20"/>
        </w:rPr>
        <w:t>'s pair-level coincidence behaviour. The sub-band thresholds (</w:t>
      </w:r>
      <w:r>
        <w:rPr>
          <w:rFonts w:ascii="Times New Roman" w:hAnsi="Times New Roman"/>
          <w:b w:val="0"/>
          <w:i w:val="0"/>
          <w:sz w:val="20"/>
        </w:rPr>
        <w:t>dHash = 15</w:t>
      </w:r>
      <w:r>
        <w:rPr>
          <w:rFonts w:ascii="Times New Roman" w:hAnsi="Times New Roman"/>
          <w:b w:val="0"/>
          <w:i w:val="0"/>
          <w:sz w:val="20"/>
        </w:rPr>
        <w:t xml:space="preserve">, </w:t>
      </w:r>
      <w:r>
        <w:rPr>
          <w:rFonts w:ascii="Times New Roman" w:hAnsi="Times New Roman"/>
          <w:b w:val="0"/>
          <w:i w:val="0"/>
          <w:sz w:val="20"/>
        </w:rPr>
        <w:t>cos = 0.837</w:t>
      </w:r>
      <w:r>
        <w:rPr>
          <w:rFonts w:ascii="Times New Roman" w:hAnsi="Times New Roman"/>
          <w:b w:val="0"/>
          <w:i w:val="0"/>
          <w:sz w:val="20"/>
        </w:rPr>
        <w:t>) retain their supplementary calibration evidence; the present calibration does not provide independent rates for those sub-bands.</w:t>
      </w:r>
    </w:p>
    <w:p>
      <w:pPr>
        <w:spacing w:after="120"/>
      </w:pPr>
      <w:r>
        <w:rPr>
          <w:rFonts w:ascii="Times New Roman" w:hAnsi="Times New Roman"/>
          <w:b w:val="0"/>
          <w:i w:val="0"/>
          <w:sz w:val="20"/>
        </w:rPr>
        <w:t>Three units of analysis. We report inter-CPA negative-anchor coincidence behaviour at three units, each addressing a different operational question:</w:t>
      </w:r>
    </w:p>
    <w:p>
      <w:pPr>
        <w:spacing w:after="80"/>
        <w:ind w:left="576" w:hanging="360"/>
      </w:pPr>
      <w:r>
        <w:rPr>
          <w:rFonts w:ascii="Times New Roman" w:hAnsi="Times New Roman"/>
          <w:b w:val="0"/>
          <w:i w:val="0"/>
          <w:sz w:val="20"/>
        </w:rPr>
        <w:t xml:space="preserve">•  Per comparison. For a randomly drawn pair of signatures from different CPAs, what fraction satisfies the rule (cos </w:t>
      </w:r>
      <w:r>
        <w:rPr>
          <w:rFonts w:ascii="Times New Roman" w:hAnsi="Times New Roman"/>
          <w:b w:val="0"/>
          <w:i w:val="0"/>
          <w:sz w:val="20"/>
        </w:rPr>
        <w:t>&gt;</w:t>
      </w:r>
      <w:r>
        <w:rPr>
          <w:rFonts w:ascii="Times New Roman" w:hAnsi="Times New Roman"/>
          <w:b w:val="0"/>
          <w:i w:val="0"/>
          <w:sz w:val="20"/>
        </w:rPr>
        <w:t xml:space="preserve"> cos_threshold and / or dHash </w:t>
      </w:r>
      <w:r>
        <w:rPr>
          <w:rFonts w:ascii="Times New Roman" w:hAnsi="Times New Roman"/>
          <w:b w:val="0"/>
          <w:i w:val="0"/>
          <w:sz w:val="20"/>
        </w:rPr>
        <w:t>≤</w:t>
      </w:r>
      <w:r>
        <w:rPr>
          <w:rFonts w:ascii="Times New Roman" w:hAnsi="Times New Roman"/>
          <w:b w:val="0"/>
          <w:i w:val="0"/>
          <w:sz w:val="20"/>
        </w:rPr>
        <w:t xml:space="preserve"> dHash_threshold)? This is the conventional pairwise calibration unit in biometric verification. We report it for both the cosine and dHash dimensions, marginally and jointly (§III-L.1).</w:t>
      </w:r>
    </w:p>
    <w:p>
      <w:pPr>
        <w:spacing w:after="80"/>
        <w:ind w:left="576" w:hanging="360"/>
      </w:pPr>
      <w:r>
        <w:rPr>
          <w:rFonts w:ascii="Times New Roman" w:hAnsi="Times New Roman"/>
          <w:b w:val="0"/>
          <w:i w:val="0"/>
          <w:sz w:val="20"/>
        </w:rPr>
        <w:t xml:space="preserve">•  Per signature pool. For a Big-4 source signature </w:t>
      </w:r>
      <w:r>
        <w:rPr>
          <w:rFonts w:ascii="Times New Roman" w:hAnsi="Times New Roman"/>
          <w:b w:val="0"/>
          <w:i w:val="0"/>
          <w:sz w:val="20"/>
        </w:rPr>
        <w:t>s</w:t>
      </w:r>
      <w:r>
        <w:rPr>
          <w:rFonts w:ascii="Times New Roman" w:hAnsi="Times New Roman"/>
          <w:b w:val="0"/>
          <w:i w:val="0"/>
          <w:sz w:val="20"/>
        </w:rPr>
        <w:t xml:space="preserve"> with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what is the probability that the deployed rule fires under the counterfactual of replacing the source's same-CPA pool with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random non-same-CPA candidates? This addresses the standard concern that a per-pair rate computed on independent pairs is not the deployed-rule rate at the per-signature classifier level: the deployed rule takes max-cosine and min-dHash over 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so its effective coincidence rate is approximately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in the independence limit (§III-L.2).</w:t>
      </w:r>
    </w:p>
    <w:p>
      <w:pPr>
        <w:spacing w:after="80"/>
        <w:ind w:left="576" w:hanging="360"/>
      </w:pPr>
      <w:r>
        <w:rPr>
          <w:rFonts w:ascii="Times New Roman" w:hAnsi="Times New Roman"/>
          <w:b w:val="0"/>
          <w:i w:val="0"/>
          <w:sz w:val="20"/>
        </w:rPr>
        <w:t>•  Per document. For an audit report aggregated via the worst-case rule, what fraction of documents have at least one signature whose deployed pool-normalised rule fires under the same inter-CPA candidate-replacement counterfactual? This is the operational alarm-rate unit (§III-L.3).</w:t>
      </w:r>
    </w:p>
    <w:p>
      <w:pPr>
        <w:spacing w:after="120"/>
      </w:pPr>
      <w:r>
        <w:rPr>
          <w:rFonts w:ascii="Times New Roman" w:hAnsi="Times New Roman"/>
          <w:b w:val="0"/>
          <w:i w:val="0"/>
          <w:sz w:val="20"/>
        </w:rPr>
        <w:t xml:space="preserve">Any-pair vs same-pair semantics. The deployed rule uses independent extrema: a signature satisfies the HC rule if </w:t>
      </w:r>
      <w:r>
        <w:rPr>
          <w:rFonts w:ascii="Times New Roman" w:hAnsi="Times New Roman"/>
          <w:b w:val="0"/>
          <w:i w:val="0"/>
          <w:sz w:val="20"/>
        </w:rPr>
        <w:t>max</w:t>
      </w:r>
      <w:r>
        <w:rPr>
          <w:rFonts w:ascii="Times New Roman" w:hAnsi="Times New Roman"/>
          <w:b w:val="0"/>
          <w:i w:val="0"/>
          <w:sz w:val="20"/>
          <w:vertAlign w:val="subscript"/>
        </w:rPr>
        <w:t>pool</w:t>
      </w:r>
      <w:r>
        <w:rPr>
          <w:rFonts w:ascii="Times New Roman" w:hAnsi="Times New Roman"/>
          <w:b w:val="0"/>
          <w:i w:val="0"/>
          <w:sz w:val="20"/>
        </w:rPr>
        <w:t xml:space="preserve"> cos &gt; 0.95</w:t>
      </w:r>
      <w:r>
        <w:rPr>
          <w:rFonts w:ascii="Times New Roman" w:hAnsi="Times New Roman"/>
          <w:b w:val="0"/>
          <w:i w:val="0"/>
          <w:sz w:val="20"/>
        </w:rPr>
        <w:t xml:space="preserve"> AND </w:t>
      </w:r>
      <w:r>
        <w:rPr>
          <w:rFonts w:ascii="Times New Roman" w:hAnsi="Times New Roman"/>
          <w:b w:val="0"/>
          <w:i w:val="0"/>
          <w:sz w:val="20"/>
        </w:rPr>
        <w:t>min</w:t>
      </w:r>
      <w:r>
        <w:rPr>
          <w:rFonts w:ascii="Times New Roman" w:hAnsi="Times New Roman"/>
          <w:b w:val="0"/>
          <w:i w:val="0"/>
          <w:sz w:val="20"/>
          <w:vertAlign w:val="subscript"/>
        </w:rPr>
        <w:t>pool</w:t>
      </w:r>
      <w:r>
        <w:rPr>
          <w:rFonts w:ascii="Times New Roman" w:hAnsi="Times New Roman"/>
          <w:b w:val="0"/>
          <w:i w:val="0"/>
          <w:sz w:val="20"/>
        </w:rPr>
        <w:t xml:space="preserve"> dHash ≤ 5</w:t>
      </w:r>
      <w:r>
        <w:rPr>
          <w:rFonts w:ascii="Times New Roman" w:hAnsi="Times New Roman"/>
          <w:b w:val="0"/>
          <w:i w:val="0"/>
          <w:sz w:val="20"/>
        </w:rPr>
        <w:t>, not if a single candidate in the pool satisfies both. We refer to this as the any-pair rule. A stricter alternative — the same-pair rule — requires a single candidate to satisfy both inequalities; the deployed rule is any-pair, but we report same-pair as a stricter alternative classifier where useful (§III-L.2, §III-L.4).</w:t>
      </w:r>
    </w:p>
    <w:p>
      <w:pPr>
        <w:spacing w:after="120"/>
      </w:pPr>
      <w:r>
        <w:rPr>
          <w:rFonts w:ascii="Times New Roman" w:hAnsi="Times New Roman"/>
          <w:b w:val="0"/>
          <w:i w:val="0"/>
          <w:sz w:val="20"/>
        </w:rPr>
        <w:t>Terminological note on "FAR". The biometric-verification literature speaks of "False Acceptance Rate" (FAR) for a per-pair rate computed on independent inter-CPA pairs. We adopt inter-CPA coincidence rate (ICCR) as the metric name and do not use "FAR" in the manuscript prose, for two reasons: (a) FAR has a specific biometric-verification meaning that requires ground-truth negative labels (which the corpus does not provide at the signature level); (b) §III-L.4 shows that the inter-CPA negative-anchor assumption — that inter-CPA pairs are negative — is partially violated by within-firm cross-CPA template-like collision structures. Reading "inter-CPA coincidence rate" as a specificity proxy under an explicitly disclosed assumption is faithful to the evidence; reading it as a true biometric FAR would overstate the evidence.</w:t>
      </w:r>
    </w:p>
    <w:p>
      <w:pPr>
        <w:pStyle w:val="Heading3"/>
      </w:pPr>
      <w:r>
        <w:rPr>
          <w:color w:val="000000"/>
        </w:rPr>
        <w:t>L.1. Per-comparison inter-CPA coincidence rate (Script 40b)</w:t>
      </w:r>
    </w:p>
    <w:p>
      <w:pPr>
        <w:spacing w:after="120"/>
      </w:pPr>
      <w:r>
        <w:rPr>
          <w:rFonts w:ascii="Times New Roman" w:hAnsi="Times New Roman"/>
          <w:b w:val="0"/>
          <w:i w:val="0"/>
          <w:sz w:val="20"/>
        </w:rPr>
        <w:t xml:space="preserve">We sample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 inter-CPA pairs uniformly at random from Big-4 signatures, computing for each pair the cosine similarity (feature dot product) and Hamming distance between the dHash byte vectors. Marginal and joint rates at threshold </w:t>
      </w:r>
      <w:r>
        <w:rPr>
          <w:rFonts w:ascii="Times New Roman" w:hAnsi="Times New Roman"/>
          <w:b w:val="0"/>
          <w:i w:val="0"/>
          <w:sz w:val="20"/>
        </w:rPr>
        <w:t>k</w:t>
      </w:r>
      <w:r>
        <w:rPr>
          <w:rFonts w:ascii="Times New Roman" w:hAnsi="Times New Roman"/>
          <w:b w:val="0"/>
          <w:i w:val="0"/>
          <w:sz w:val="20"/>
        </w:rPr>
        <w:t xml:space="preserve"> are reported with Wilson 95% confidence intervals (Script 40b).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Per-comparison inter-CPA coincidence rate</w:t>
            </w:r>
          </w:p>
        </w:tc>
        <w:tc>
          <w:tcPr>
            <w:tcW w:type="dxa" w:w="2880"/>
          </w:tcPr>
          <w:p>
            <w:pPr>
              <w:jc w:val="center"/>
            </w:pPr>
            <w:r/>
            <w:r>
              <w:rPr>
                <w:rFonts w:ascii="Times New Roman" w:hAnsi="Times New Roman"/>
                <w:b/>
                <w:i w:val="0"/>
                <w:sz w:val="16"/>
              </w:rPr>
              <w:t>95% Wilson CI</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0.95</w:t>
            </w:r>
          </w:p>
        </w:tc>
        <w:tc>
          <w:tcPr>
            <w:tcW w:type="dxa" w:w="2880"/>
          </w:tcPr>
          <w:p>
            <w:pPr>
              <w:jc w:val="center"/>
            </w:pPr>
            <w:r/>
            <w:r>
              <w:rPr>
                <w:rFonts w:ascii="Times New Roman" w:hAnsi="Times New Roman"/>
                <w:b w:val="0"/>
                <w:i w:val="0"/>
                <w:sz w:val="16"/>
              </w:rPr>
              <w:t>0.00060</w:t>
            </w:r>
          </w:p>
        </w:tc>
        <w:tc>
          <w:tcPr>
            <w:tcW w:type="dxa" w:w="2880"/>
          </w:tcPr>
          <w:p>
            <w:pPr>
              <w:jc w:val="center"/>
            </w:pPr>
            <w:r/>
            <w:r>
              <w:rPr>
                <w:rFonts w:ascii="Times New Roman" w:hAnsi="Times New Roman"/>
                <w:b w:val="0"/>
                <w:i w:val="0"/>
                <w:sz w:val="16"/>
              </w:rPr>
              <w:t>[0.00053, 0.00067]</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0.945</w:t>
            </w:r>
            <w:r>
              <w:rPr>
                <w:rFonts w:ascii="Times New Roman" w:hAnsi="Times New Roman"/>
                <w:b w:val="0"/>
                <w:i w:val="0"/>
                <w:sz w:val="16"/>
              </w:rPr>
              <w:t xml:space="preserve"> (alternative operating point from supplementary calibration evidence)</w:t>
            </w:r>
          </w:p>
        </w:tc>
        <w:tc>
          <w:tcPr>
            <w:tcW w:type="dxa" w:w="2880"/>
          </w:tcPr>
          <w:p>
            <w:pPr>
              <w:jc w:val="center"/>
            </w:pPr>
            <w:r/>
            <w:r>
              <w:rPr>
                <w:rFonts w:ascii="Times New Roman" w:hAnsi="Times New Roman"/>
                <w:b w:val="0"/>
                <w:i w:val="0"/>
                <w:sz w:val="16"/>
              </w:rPr>
              <w:t>0.00081</w:t>
            </w:r>
          </w:p>
        </w:tc>
        <w:tc>
          <w:tcPr>
            <w:tcW w:type="dxa" w:w="2880"/>
          </w:tcPr>
          <w:p>
            <w:pPr>
              <w:jc w:val="center"/>
            </w:pPr>
            <w:r/>
            <w:r>
              <w:rPr>
                <w:rFonts w:ascii="Times New Roman" w:hAnsi="Times New Roman"/>
                <w:b w:val="0"/>
                <w:i w:val="0"/>
                <w:sz w:val="16"/>
              </w:rPr>
              <w:t>[0.00073, 0.00089]</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0.97</w:t>
            </w:r>
          </w:p>
        </w:tc>
        <w:tc>
          <w:tcPr>
            <w:tcW w:type="dxa" w:w="2880"/>
          </w:tcPr>
          <w:p>
            <w:pPr>
              <w:jc w:val="center"/>
            </w:pPr>
            <w:r/>
            <w:r>
              <w:rPr>
                <w:rFonts w:ascii="Times New Roman" w:hAnsi="Times New Roman"/>
                <w:b w:val="0"/>
                <w:i w:val="0"/>
                <w:sz w:val="16"/>
              </w:rPr>
              <w:t>0.00024</w:t>
            </w:r>
          </w:p>
        </w:tc>
        <w:tc>
          <w:tcPr>
            <w:tcW w:type="dxa" w:w="2880"/>
          </w:tcPr>
          <w:p>
            <w:pPr>
              <w:jc w:val="center"/>
            </w:pPr>
            <w:r/>
            <w:r>
              <w:rPr>
                <w:rFonts w:ascii="Times New Roman" w:hAnsi="Times New Roman"/>
                <w:b w:val="0"/>
                <w:i w:val="0"/>
                <w:sz w:val="16"/>
              </w:rPr>
              <w:t>[0.00020, 0.00029]</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0.98</w:t>
            </w:r>
          </w:p>
        </w:tc>
        <w:tc>
          <w:tcPr>
            <w:tcW w:type="dxa" w:w="2880"/>
          </w:tcPr>
          <w:p>
            <w:pPr>
              <w:jc w:val="center"/>
            </w:pPr>
            <w:r/>
            <w:r>
              <w:rPr>
                <w:rFonts w:ascii="Times New Roman" w:hAnsi="Times New Roman"/>
                <w:b w:val="0"/>
                <w:i w:val="0"/>
                <w:sz w:val="16"/>
              </w:rPr>
              <w:t>0.00009</w:t>
            </w:r>
          </w:p>
        </w:tc>
        <w:tc>
          <w:tcPr>
            <w:tcW w:type="dxa" w:w="2880"/>
          </w:tcPr>
          <w:p>
            <w:pPr>
              <w:jc w:val="center"/>
            </w:pPr>
            <w:r/>
            <w:r>
              <w:rPr>
                <w:rFonts w:ascii="Times New Roman" w:hAnsi="Times New Roman"/>
                <w:b w:val="0"/>
                <w:i w:val="0"/>
                <w:sz w:val="16"/>
              </w:rPr>
              <w:t>[0.00007, 0.00012]</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p>
        </w:tc>
        <w:tc>
          <w:tcPr>
            <w:tcW w:type="dxa" w:w="2880"/>
          </w:tcPr>
          <w:p>
            <w:pPr>
              <w:jc w:val="center"/>
            </w:pPr>
            <w:r/>
            <w:r>
              <w:rPr>
                <w:rFonts w:ascii="Times New Roman" w:hAnsi="Times New Roman"/>
                <w:b w:val="0"/>
                <w:i w:val="0"/>
                <w:sz w:val="16"/>
              </w:rPr>
              <w:t>0.00129</w:t>
            </w:r>
          </w:p>
        </w:tc>
        <w:tc>
          <w:tcPr>
            <w:tcW w:type="dxa" w:w="2880"/>
          </w:tcPr>
          <w:p>
            <w:pPr>
              <w:jc w:val="center"/>
            </w:pPr>
            <w:r/>
            <w:r>
              <w:rPr>
                <w:rFonts w:ascii="Times New Roman" w:hAnsi="Times New Roman"/>
                <w:b w:val="0"/>
                <w:i w:val="0"/>
                <w:sz w:val="16"/>
              </w:rPr>
              <w:t>[0.00120, 0.00140]</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4</w:t>
            </w:r>
          </w:p>
        </w:tc>
        <w:tc>
          <w:tcPr>
            <w:tcW w:type="dxa" w:w="2880"/>
          </w:tcPr>
          <w:p>
            <w:pPr>
              <w:jc w:val="center"/>
            </w:pPr>
            <w:r/>
            <w:r>
              <w:rPr>
                <w:rFonts w:ascii="Times New Roman" w:hAnsi="Times New Roman"/>
                <w:b w:val="0"/>
                <w:i w:val="0"/>
                <w:sz w:val="16"/>
              </w:rPr>
              <w:t>0.00050</w:t>
            </w:r>
          </w:p>
        </w:tc>
        <w:tc>
          <w:tcPr>
            <w:tcW w:type="dxa" w:w="2880"/>
          </w:tcPr>
          <w:p>
            <w:pPr>
              <w:jc w:val="center"/>
            </w:pPr>
            <w:r/>
            <w:r>
              <w:rPr>
                <w:rFonts w:ascii="Times New Roman" w:hAnsi="Times New Roman"/>
                <w:b w:val="0"/>
                <w:i w:val="0"/>
                <w:sz w:val="16"/>
              </w:rPr>
              <w:t>[0.00044, 0.00057]</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3</w:t>
            </w:r>
          </w:p>
        </w:tc>
        <w:tc>
          <w:tcPr>
            <w:tcW w:type="dxa" w:w="2880"/>
          </w:tcPr>
          <w:p>
            <w:pPr>
              <w:jc w:val="center"/>
            </w:pPr>
            <w:r/>
            <w:r>
              <w:rPr>
                <w:rFonts w:ascii="Times New Roman" w:hAnsi="Times New Roman"/>
                <w:b w:val="0"/>
                <w:i w:val="0"/>
                <w:sz w:val="16"/>
              </w:rPr>
              <w:t>0.00019</w:t>
            </w:r>
          </w:p>
        </w:tc>
        <w:tc>
          <w:tcPr>
            <w:tcW w:type="dxa" w:w="2880"/>
          </w:tcPr>
          <w:p>
            <w:pPr>
              <w:jc w:val="center"/>
            </w:pPr>
            <w:r/>
            <w:r>
              <w:rPr>
                <w:rFonts w:ascii="Times New Roman" w:hAnsi="Times New Roman"/>
                <w:b w:val="0"/>
                <w:i w:val="0"/>
                <w:sz w:val="16"/>
              </w:rPr>
              <w:t>[0.00015, 0.00023]</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2</w:t>
            </w:r>
          </w:p>
        </w:tc>
        <w:tc>
          <w:tcPr>
            <w:tcW w:type="dxa" w:w="2880"/>
          </w:tcPr>
          <w:p>
            <w:pPr>
              <w:jc w:val="center"/>
            </w:pPr>
            <w:r/>
            <w:r>
              <w:rPr>
                <w:rFonts w:ascii="Times New Roman" w:hAnsi="Times New Roman"/>
                <w:b w:val="0"/>
                <w:i w:val="0"/>
                <w:sz w:val="16"/>
              </w:rPr>
              <w:t>0.00006</w:t>
            </w:r>
          </w:p>
        </w:tc>
        <w:tc>
          <w:tcPr>
            <w:tcW w:type="dxa" w:w="2880"/>
          </w:tcPr>
          <w:p>
            <w:pPr>
              <w:jc w:val="center"/>
            </w:pPr>
            <w:r/>
            <w:r>
              <w:rPr>
                <w:rFonts w:ascii="Times New Roman" w:hAnsi="Times New Roman"/>
                <w:b w:val="0"/>
                <w:i w:val="0"/>
                <w:sz w:val="16"/>
              </w:rPr>
              <w:t>[0.00004, 0.00008]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xml:space="preserve"> (any-pair semantics)</w:t>
            </w:r>
          </w:p>
        </w:tc>
        <w:tc>
          <w:tcPr>
            <w:tcW w:type="dxa" w:w="2880"/>
          </w:tcPr>
          <w:p>
            <w:pPr>
              <w:jc w:val="center"/>
            </w:pPr>
            <w:r/>
            <w:r>
              <w:rPr>
                <w:rFonts w:ascii="Times New Roman" w:hAnsi="Times New Roman"/>
                <w:b w:val="0"/>
                <w:i w:val="0"/>
                <w:sz w:val="16"/>
              </w:rPr>
              <w:t>0.00014</w:t>
            </w:r>
          </w:p>
        </w:tc>
        <w:tc>
          <w:tcPr>
            <w:tcW w:type="dxa" w:w="2880"/>
          </w:tcPr>
          <w:p>
            <w:pPr>
              <w:jc w:val="center"/>
            </w:pPr>
            <w:r/>
            <w:r>
              <w:rPr>
                <w:rFonts w:ascii="Times New Roman" w:hAnsi="Times New Roman"/>
                <w:b w:val="0"/>
                <w:i w:val="0"/>
                <w:sz w:val="16"/>
              </w:rPr>
              <w:t>[0.00011, 0.00018]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4</w:t>
            </w:r>
            <w:r>
              <w:rPr>
                <w:rFonts w:ascii="Times New Roman" w:hAnsi="Times New Roman"/>
                <w:b w:val="0"/>
                <w:i w:val="0"/>
                <w:sz w:val="16"/>
              </w:rPr>
              <w:t xml:space="preserve"> (any-pair)</w:t>
            </w:r>
          </w:p>
        </w:tc>
        <w:tc>
          <w:tcPr>
            <w:tcW w:type="dxa" w:w="2880"/>
          </w:tcPr>
          <w:p>
            <w:pPr>
              <w:jc w:val="center"/>
            </w:pPr>
            <w:r/>
            <w:r>
              <w:rPr>
                <w:rFonts w:ascii="Times New Roman" w:hAnsi="Times New Roman"/>
                <w:b w:val="0"/>
                <w:i w:val="0"/>
                <w:sz w:val="16"/>
              </w:rPr>
              <w:t>0.00011</w:t>
            </w:r>
          </w:p>
        </w:tc>
        <w:tc>
          <w:tcPr>
            <w:tcW w:type="dxa" w:w="2880"/>
          </w:tcPr>
          <w:p>
            <w:pPr>
              <w:jc w:val="center"/>
            </w:pPr>
            <w:r/>
            <w:r>
              <w:rPr>
                <w:rFonts w:ascii="Times New Roman" w:hAnsi="Times New Roman"/>
                <w:b w:val="0"/>
                <w:i w:val="0"/>
                <w:sz w:val="16"/>
              </w:rPr>
              <w:t>[0.00008, 0.00014]</w:t>
            </w:r>
          </w:p>
        </w:tc>
      </w:tr>
    </w:tbl>
    <w:p/>
    <w:p>
      <w:pPr>
        <w:spacing w:after="120"/>
      </w:pPr>
      <w:r>
        <w:rPr>
          <w:rFonts w:ascii="Times New Roman" w:hAnsi="Times New Roman"/>
          <w:b w:val="0"/>
          <w:i w:val="0"/>
          <w:sz w:val="20"/>
        </w:rPr>
        <w:t xml:space="preserve">The cosine row at </w:t>
      </w:r>
      <w:r>
        <w:rPr>
          <w:rFonts w:ascii="Times New Roman" w:hAnsi="Times New Roman"/>
          <w:b w:val="0"/>
          <w:i w:val="0"/>
          <w:sz w:val="20"/>
        </w:rPr>
        <w:t>cos &gt; 0.95</w:t>
      </w:r>
      <w:r>
        <w:rPr>
          <w:rFonts w:ascii="Times New Roman" w:hAnsi="Times New Roman"/>
          <w:b w:val="0"/>
          <w:i w:val="0"/>
          <w:sz w:val="20"/>
        </w:rPr>
        <w:t xml:space="preserve"> is consistent with the corpus-wide per-comparison rate of </w:t>
      </w:r>
      <w:r>
        <w:rPr>
          <w:rFonts w:ascii="Times New Roman" w:hAnsi="Times New Roman"/>
          <w:b w:val="0"/>
          <w:i w:val="0"/>
          <w:sz w:val="20"/>
        </w:rPr>
        <w:t>0.0005</w:t>
      </w:r>
      <w:r>
        <w:rPr>
          <w:rFonts w:ascii="Times New Roman" w:hAnsi="Times New Roman"/>
          <w:b w:val="0"/>
          <w:i w:val="0"/>
          <w:sz w:val="20"/>
        </w:rPr>
        <w:t xml:space="preserve"> reported in §IV-I on a similarly-sized inter-CPA sample; the present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-pair sample yields </w:t>
      </w:r>
      <w:r>
        <w:rPr>
          <w:rFonts w:ascii="Times New Roman" w:hAnsi="Times New Roman"/>
          <w:b w:val="0"/>
          <w:i w:val="0"/>
          <w:sz w:val="20"/>
        </w:rPr>
        <w:t>0.00060</w:t>
      </w:r>
      <w:r>
        <w:rPr>
          <w:rFonts w:ascii="Times New Roman" w:hAnsi="Times New Roman"/>
          <w:b w:val="0"/>
          <w:i w:val="0"/>
          <w:sz w:val="20"/>
        </w:rPr>
        <w:t>, within that precision. The dHash row and joint row are reported here for the first time; the corpus-wide spike did not provide an inter-CPA pair-level coincidence rate for the structural dimension or the joint rule.</w:t>
      </w:r>
    </w:p>
    <w:p>
      <w:pPr>
        <w:spacing w:after="120"/>
      </w:pPr>
      <w:r>
        <w:rPr>
          <w:rFonts w:ascii="Times New Roman" w:hAnsi="Times New Roman"/>
          <w:b w:val="0"/>
          <w:i w:val="0"/>
          <w:sz w:val="20"/>
        </w:rPr>
        <w:t xml:space="preserve">The all-firms-scope sample yields slightly lower per-comparison coincidence rates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0.00031</w:t>
      </w:r>
      <w:r>
        <w:rPr>
          <w:rFonts w:ascii="Times New Roman" w:hAnsi="Times New Roman"/>
          <w:b w:val="0"/>
          <w:i w:val="0"/>
          <w:sz w:val="20"/>
        </w:rPr>
        <w:t xml:space="preserve">;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0.00073</w:t>
      </w:r>
      <w:r>
        <w:rPr>
          <w:rFonts w:ascii="Times New Roman" w:hAnsi="Times New Roman"/>
          <w:b w:val="0"/>
          <w:i w:val="0"/>
          <w:sz w:val="20"/>
        </w:rPr>
        <w:t xml:space="preserve">; joint: </w:t>
      </w:r>
      <w:r>
        <w:rPr>
          <w:rFonts w:ascii="Times New Roman" w:hAnsi="Times New Roman"/>
          <w:b w:val="0"/>
          <w:i w:val="0"/>
          <w:sz w:val="20"/>
        </w:rPr>
        <w:t>0.00007</w:t>
      </w:r>
      <w:r>
        <w:rPr>
          <w:rFonts w:ascii="Times New Roman" w:hAnsi="Times New Roman"/>
          <w:b w:val="0"/>
          <w:i w:val="0"/>
          <w:sz w:val="20"/>
        </w:rPr>
        <w:t>); the all-firms sample weights small CPAs more heavily under CPA-uniform pair sampling, so we treat the Big-4 sample as the primary calibration scope and report all-firms as a corroborating-scope robustness check.</w:t>
      </w:r>
    </w:p>
    <w:p>
      <w:pPr>
        <w:spacing w:after="120"/>
      </w:pPr>
      <w:r>
        <w:rPr>
          <w:rFonts w:ascii="Times New Roman" w:hAnsi="Times New Roman"/>
          <w:b w:val="0"/>
          <w:i w:val="0"/>
          <w:sz w:val="20"/>
        </w:rPr>
        <w:t xml:space="preserve">Conditional inter-CPA coincidence rate. A natural follow-up question is whether the dHash dimension provides marginal specificity beyond the cosine gate. For pairs with cos </w:t>
      </w:r>
      <w:r>
        <w:rPr>
          <w:rFonts w:ascii="Times New Roman" w:hAnsi="Times New Roman"/>
          <w:b w:val="0"/>
          <w:i w:val="0"/>
          <w:sz w:val="20"/>
        </w:rPr>
        <w:t>&gt; 0.95</w:t>
      </w:r>
      <w:r>
        <w:rPr>
          <w:rFonts w:ascii="Times New Roman" w:hAnsi="Times New Roman"/>
          <w:b w:val="0"/>
          <w:i w:val="0"/>
          <w:sz w:val="20"/>
        </w:rPr>
        <w:t xml:space="preserve">, the conditional rate of dHash </w:t>
      </w:r>
      <w:r>
        <w:rPr>
          <w:rFonts w:ascii="Times New Roman" w:hAnsi="Times New Roman"/>
          <w:b w:val="0"/>
          <w:i w:val="0"/>
          <w:sz w:val="20"/>
        </w:rPr>
        <w:t>≤ 5</w:t>
      </w:r>
      <w:r>
        <w:rPr>
          <w:rFonts w:ascii="Times New Roman" w:hAnsi="Times New Roman"/>
          <w:b w:val="0"/>
          <w:i w:val="0"/>
          <w:sz w:val="20"/>
        </w:rPr>
        <w:t xml:space="preserve"> is </w:t>
      </w:r>
      <w:r>
        <w:rPr>
          <w:rFonts w:ascii="Times New Roman" w:hAnsi="Times New Roman"/>
          <w:b w:val="0"/>
          <w:i w:val="0"/>
          <w:sz w:val="20"/>
        </w:rPr>
        <w:t>0.234</w:t>
      </w:r>
      <w:r>
        <w:rPr>
          <w:rFonts w:ascii="Times New Roman" w:hAnsi="Times New Roman"/>
          <w:b w:val="0"/>
          <w:i w:val="0"/>
          <w:sz w:val="20"/>
        </w:rPr>
        <w:t xml:space="preserve"> (Wilson 95% CI </w:t>
      </w:r>
      <w:r>
        <w:rPr>
          <w:rFonts w:ascii="Times New Roman" w:hAnsi="Times New Roman"/>
          <w:b w:val="0"/>
          <w:i w:val="0"/>
          <w:sz w:val="20"/>
        </w:rPr>
        <w:t>[0.190, 0.285]</w:t>
      </w:r>
      <w:r>
        <w:rPr>
          <w:rFonts w:ascii="Times New Roman" w:hAnsi="Times New Roman"/>
          <w:b w:val="0"/>
          <w:i w:val="0"/>
          <w:sz w:val="20"/>
        </w:rPr>
        <w:t xml:space="preserve">; </w:t>
      </w:r>
      <w:r>
        <w:rPr>
          <w:rFonts w:ascii="Times New Roman" w:hAnsi="Times New Roman"/>
          <w:b w:val="0"/>
          <w:i w:val="0"/>
          <w:sz w:val="20"/>
        </w:rPr>
        <w:t>70</w:t>
      </w:r>
      <w:r>
        <w:rPr>
          <w:rFonts w:ascii="Times New Roman" w:hAnsi="Times New Roman"/>
          <w:b w:val="0"/>
          <w:i w:val="0"/>
          <w:sz w:val="20"/>
        </w:rPr>
        <w:t xml:space="preserve"> of </w:t>
      </w:r>
      <w:r>
        <w:rPr>
          <w:rFonts w:ascii="Times New Roman" w:hAnsi="Times New Roman"/>
          <w:b w:val="0"/>
          <w:i w:val="0"/>
          <w:sz w:val="20"/>
        </w:rPr>
        <w:t>299</w:t>
      </w:r>
      <w:r>
        <w:rPr>
          <w:rFonts w:ascii="Times New Roman" w:hAnsi="Times New Roman"/>
          <w:b w:val="0"/>
          <w:i w:val="0"/>
          <w:sz w:val="20"/>
        </w:rPr>
        <w:t xml:space="preserve"> pairs in the Big-4 sample). At cos </w:t>
      </w:r>
      <w:r>
        <w:rPr>
          <w:rFonts w:ascii="Times New Roman" w:hAnsi="Times New Roman"/>
          <w:b w:val="0"/>
          <w:i w:val="0"/>
          <w:sz w:val="20"/>
        </w:rPr>
        <w:t>&gt; 0.95</w:t>
      </w:r>
      <w:r>
        <w:rPr>
          <w:rFonts w:ascii="Times New Roman" w:hAnsi="Times New Roman"/>
          <w:b w:val="0"/>
          <w:i w:val="0"/>
          <w:sz w:val="20"/>
        </w:rPr>
        <w:t xml:space="preserve">, dHash provides </w:t>
      </w:r>
      <w:r>
        <w:rPr>
          <w:rFonts w:ascii="Times New Roman" w:hAnsi="Times New Roman"/>
          <w:b w:val="0"/>
          <w:i w:val="0"/>
          <w:sz w:val="20"/>
        </w:rPr>
        <w:t>~ 4.3×</w:t>
      </w:r>
      <w:r>
        <w:rPr>
          <w:rFonts w:ascii="Times New Roman" w:hAnsi="Times New Roman"/>
          <w:b w:val="0"/>
          <w:i w:val="0"/>
          <w:sz w:val="20"/>
        </w:rPr>
        <w:t xml:space="preserve"> further per-comparison specificity (joint </w:t>
      </w:r>
      <w:r>
        <w:rPr>
          <w:rFonts w:ascii="Times New Roman" w:hAnsi="Times New Roman"/>
          <w:b w:val="0"/>
          <w:i w:val="0"/>
          <w:sz w:val="20"/>
        </w:rPr>
        <w:t>0.00014</w:t>
      </w:r>
      <w:r>
        <w:rPr>
          <w:rFonts w:ascii="Times New Roman" w:hAnsi="Times New Roman"/>
          <w:b w:val="0"/>
          <w:i w:val="0"/>
          <w:sz w:val="20"/>
        </w:rPr>
        <w:t xml:space="preserve"> vs cos-only </w:t>
      </w:r>
      <w:r>
        <w:rPr>
          <w:rFonts w:ascii="Times New Roman" w:hAnsi="Times New Roman"/>
          <w:b w:val="0"/>
          <w:i w:val="0"/>
          <w:sz w:val="20"/>
        </w:rPr>
        <w:t>0.00060</w:t>
      </w:r>
      <w:r>
        <w:rPr>
          <w:rFonts w:ascii="Times New Roman" w:hAnsi="Times New Roman"/>
          <w:b w:val="0"/>
          <w:i w:val="0"/>
          <w:sz w:val="20"/>
        </w:rPr>
        <w:t>).</w:t>
      </w:r>
    </w:p>
    <w:p>
      <w:pPr>
        <w:spacing w:after="120"/>
      </w:pPr>
      <w:r>
        <w:rPr>
          <w:rFonts w:ascii="Times New Roman" w:hAnsi="Times New Roman"/>
          <w:b w:val="0"/>
          <w:i w:val="0"/>
          <w:sz w:val="20"/>
        </w:rPr>
        <w:t xml:space="preserve">The per-comparison rate is a useful specificity-proxy calibration for the deployed rule's pair-level behaviour. It does not directly translate to the deployed-rule specificity at the per-signature classifier level, because the deployed classifier takes extrema over a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The pool-normalised inter-CPA alert rate is reported in §III-L.2.</w:t>
      </w:r>
    </w:p>
    <w:p>
      <w:pPr>
        <w:pStyle w:val="Heading3"/>
      </w:pPr>
      <w:r>
        <w:rPr>
          <w:color w:val="000000"/>
        </w:rPr>
        <w:t>L.2. Pool-normalised inter-CPA alert rate (Script 43)</w:t>
      </w:r>
    </w:p>
    <w:p>
      <w:pPr>
        <w:spacing w:after="120"/>
      </w:pPr>
      <w:r>
        <w:rPr>
          <w:rFonts w:ascii="Times New Roman" w:hAnsi="Times New Roman"/>
          <w:b w:val="0"/>
          <w:i w:val="0"/>
          <w:sz w:val="20"/>
        </w:rPr>
        <w:t xml:space="preserve">The deployed rule uses </w:t>
      </w:r>
      <w:r>
        <w:rPr>
          <w:rFonts w:ascii="Times New Roman" w:hAnsi="Times New Roman"/>
          <w:b w:val="0"/>
          <w:i w:val="0"/>
          <w:sz w:val="20"/>
        </w:rPr>
        <w:t>max</w:t>
      </w:r>
      <w:r>
        <w:rPr>
          <w:rFonts w:ascii="Times New Roman" w:hAnsi="Times New Roman"/>
          <w:b w:val="0"/>
          <w:i w:val="0"/>
          <w:sz w:val="20"/>
          <w:vertAlign w:val="subscript"/>
        </w:rPr>
        <w:t>pool</w:t>
      </w:r>
      <w:r>
        <w:rPr>
          <w:rFonts w:ascii="Times New Roman" w:hAnsi="Times New Roman"/>
          <w:b w:val="0"/>
          <w:i w:val="0"/>
          <w:sz w:val="20"/>
        </w:rPr>
        <w:t xml:space="preserve"> cos</w:t>
      </w:r>
      <w:r>
        <w:rPr>
          <w:rFonts w:ascii="Times New Roman" w:hAnsi="Times New Roman"/>
          <w:b w:val="0"/>
          <w:i w:val="0"/>
          <w:sz w:val="20"/>
        </w:rPr>
        <w:t xml:space="preserve"> and </w:t>
      </w:r>
      <w:r>
        <w:rPr>
          <w:rFonts w:ascii="Times New Roman" w:hAnsi="Times New Roman"/>
          <w:b w:val="0"/>
          <w:i w:val="0"/>
          <w:sz w:val="20"/>
        </w:rPr>
        <w:t>min</w:t>
      </w:r>
      <w:r>
        <w:rPr>
          <w:rFonts w:ascii="Times New Roman" w:hAnsi="Times New Roman"/>
          <w:b w:val="0"/>
          <w:i w:val="0"/>
          <w:sz w:val="20"/>
          <w:vertAlign w:val="subscript"/>
        </w:rPr>
        <w:t>pool</w:t>
      </w:r>
      <w:r>
        <w:rPr>
          <w:rFonts w:ascii="Times New Roman" w:hAnsi="Times New Roman"/>
          <w:b w:val="0"/>
          <w:i w:val="0"/>
          <w:sz w:val="20"/>
        </w:rPr>
        <w:t xml:space="preserve"> dHash</w:t>
      </w:r>
      <w:r>
        <w:rPr>
          <w:rFonts w:ascii="Times New Roman" w:hAnsi="Times New Roman"/>
          <w:b w:val="0"/>
          <w:i w:val="0"/>
          <w:sz w:val="20"/>
        </w:rPr>
        <w:t xml:space="preserve"> over the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for each signature </w:t>
      </w:r>
      <w:r>
        <w:rPr>
          <w:rFonts w:ascii="Times New Roman" w:hAnsi="Times New Roman"/>
          <w:b w:val="0"/>
          <w:i w:val="0"/>
          <w:sz w:val="20"/>
        </w:rPr>
        <w:t>s</w:t>
      </w:r>
      <w:r>
        <w:rPr>
          <w:rFonts w:ascii="Times New Roman" w:hAnsi="Times New Roman"/>
          <w:b w:val="0"/>
          <w:i w:val="0"/>
          <w:sz w:val="20"/>
        </w:rPr>
        <w:t xml:space="preserve">. A per-comparison rate is therefore not the rate at which the deployed classifier fires per signature. To compute the per-signature inter-CPA-equivalent rate, for each Big-4 source signature </w:t>
      </w:r>
      <w:r>
        <w:rPr>
          <w:rFonts w:ascii="Times New Roman" w:hAnsi="Times New Roman"/>
          <w:b w:val="0"/>
          <w:i w:val="0"/>
          <w:sz w:val="20"/>
        </w:rPr>
        <w:t>s</w:t>
      </w:r>
      <w:r>
        <w:rPr>
          <w:rFonts w:ascii="Times New Roman" w:hAnsi="Times New Roman"/>
          <w:b w:val="0"/>
          <w:i w:val="0"/>
          <w:sz w:val="20"/>
        </w:rPr>
        <w:t xml:space="preserve"> we simulate one realisation of an inter-CPA candidate pool of the same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drawn uniformly from non-same-CPA signatures across all firms, compute the deployed extrema and rule indicator, and aggregate (Script 43;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150,453</w:t>
      </w:r>
      <w:r>
        <w:rPr>
          <w:rFonts w:ascii="Times New Roman" w:hAnsi="Times New Roman"/>
          <w:b w:val="0"/>
          <w:i w:val="0"/>
          <w:sz w:val="20"/>
        </w:rPr>
        <w:t xml:space="preserve"> vector-complete in this analysis; CPA-block bootstrap 95% CIs reported below).</w:t>
      </w:r>
    </w:p>
    <w:p>
      <w:pPr>
        <w:spacing w:after="120"/>
      </w:pPr>
      <w:r>
        <w:rPr>
          <w:rFonts w:ascii="Times New Roman" w:hAnsi="Times New Roman"/>
          <w:b w:val="0"/>
          <w:i w:val="0"/>
          <w:sz w:val="20"/>
        </w:rPr>
        <w:t xml:space="preserve">Headline rates (deployed any-pair rule, HC =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Wilson 95% CIs on the point estimate, CPA-block bootstrap 95% CI 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1000</w:t>
      </w:r>
      <w:r>
        <w:rPr>
          <w:rFonts w:ascii="Times New Roman" w:hAnsi="Times New Roman"/>
          <w:b w:val="0"/>
          <w:i w:val="0"/>
          <w:sz w:val="20"/>
        </w:rPr>
        <w:t xml:space="preserve"> replicates: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Rule semantics</w:t>
            </w:r>
          </w:p>
        </w:tc>
        <w:tc>
          <w:tcPr>
            <w:tcW w:type="dxa" w:w="2160"/>
          </w:tcPr>
          <w:p>
            <w:pPr>
              <w:jc w:val="center"/>
            </w:pPr>
            <w:r/>
            <w:r>
              <w:rPr>
                <w:rFonts w:ascii="Times New Roman" w:hAnsi="Times New Roman"/>
                <w:b/>
                <w:i w:val="0"/>
                <w:sz w:val="16"/>
              </w:rPr>
              <w:t>Per-signature ICCR</w:t>
            </w:r>
          </w:p>
        </w:tc>
        <w:tc>
          <w:tcPr>
            <w:tcW w:type="dxa" w:w="2160"/>
          </w:tcPr>
          <w:p>
            <w:pPr>
              <w:jc w:val="center"/>
            </w:pPr>
            <w:r/>
            <w:r>
              <w:rPr>
                <w:rFonts w:ascii="Times New Roman" w:hAnsi="Times New Roman"/>
                <w:b/>
                <w:i w:val="0"/>
                <w:sz w:val="16"/>
              </w:rPr>
              <w:t>Wilson 95% CI</w:t>
            </w:r>
          </w:p>
        </w:tc>
        <w:tc>
          <w:tcPr>
            <w:tcW w:type="dxa" w:w="2160"/>
          </w:tcPr>
          <w:p>
            <w:pPr>
              <w:jc w:val="center"/>
            </w:pPr>
            <w:r/>
            <w:r>
              <w:rPr>
                <w:rFonts w:ascii="Times New Roman" w:hAnsi="Times New Roman"/>
                <w:b/>
                <w:i w:val="0"/>
                <w:sz w:val="16"/>
              </w:rPr>
              <w:t>CPA-bootstrap 95% CI</w:t>
            </w:r>
          </w:p>
        </w:tc>
      </w:tr>
      <w:tr>
        <w:tc>
          <w:tcPr>
            <w:tcW w:type="dxa" w:w="2160"/>
          </w:tcPr>
          <w:p>
            <w:pPr>
              <w:jc w:val="center"/>
            </w:pPr>
            <w:r/>
            <w:r>
              <w:rPr>
                <w:rFonts w:ascii="Times New Roman" w:hAnsi="Times New Roman"/>
                <w:b w:val="0"/>
                <w:i w:val="0"/>
                <w:sz w:val="16"/>
              </w:rPr>
              <w:t>Any-pair (deployed)</w:t>
            </w:r>
          </w:p>
        </w:tc>
        <w:tc>
          <w:tcPr>
            <w:tcW w:type="dxa" w:w="2160"/>
          </w:tcPr>
          <w:p>
            <w:pPr>
              <w:jc w:val="center"/>
            </w:pPr>
            <w:r/>
            <w:r>
              <w:rPr>
                <w:rFonts w:ascii="Times New Roman" w:hAnsi="Times New Roman"/>
                <w:b w:val="0"/>
                <w:i w:val="0"/>
                <w:sz w:val="16"/>
              </w:rPr>
              <w:t>0.1102</w:t>
            </w:r>
          </w:p>
        </w:tc>
        <w:tc>
          <w:tcPr>
            <w:tcW w:type="dxa" w:w="2160"/>
          </w:tcPr>
          <w:p>
            <w:pPr>
              <w:jc w:val="center"/>
            </w:pPr>
            <w:r/>
            <w:r>
              <w:rPr>
                <w:rFonts w:ascii="Times New Roman" w:hAnsi="Times New Roman"/>
                <w:b w:val="0"/>
                <w:i w:val="0"/>
                <w:sz w:val="16"/>
              </w:rPr>
              <w:t>[0.1086, 0.1118]</w:t>
            </w:r>
          </w:p>
        </w:tc>
        <w:tc>
          <w:tcPr>
            <w:tcW w:type="dxa" w:w="2160"/>
          </w:tcPr>
          <w:p>
            <w:pPr>
              <w:jc w:val="center"/>
            </w:pPr>
            <w:r/>
            <w:r>
              <w:rPr>
                <w:rFonts w:ascii="Times New Roman" w:hAnsi="Times New Roman"/>
                <w:b w:val="0"/>
                <w:i w:val="0"/>
                <w:sz w:val="16"/>
              </w:rPr>
              <w:t>[0.0908, 0.1330]</w:t>
            </w:r>
          </w:p>
        </w:tc>
      </w:tr>
      <w:tr>
        <w:tc>
          <w:tcPr>
            <w:tcW w:type="dxa" w:w="2160"/>
          </w:tcPr>
          <w:p>
            <w:pPr>
              <w:jc w:val="center"/>
            </w:pPr>
            <w:r/>
            <w:r>
              <w:rPr>
                <w:rFonts w:ascii="Times New Roman" w:hAnsi="Times New Roman"/>
                <w:b w:val="0"/>
                <w:i w:val="0"/>
                <w:sz w:val="16"/>
              </w:rPr>
              <w:t>Same-pair (stricter alternative)</w:t>
            </w:r>
          </w:p>
        </w:tc>
        <w:tc>
          <w:tcPr>
            <w:tcW w:type="dxa" w:w="2160"/>
          </w:tcPr>
          <w:p>
            <w:pPr>
              <w:jc w:val="center"/>
            </w:pPr>
            <w:r/>
            <w:r>
              <w:rPr>
                <w:rFonts w:ascii="Times New Roman" w:hAnsi="Times New Roman"/>
                <w:b w:val="0"/>
                <w:i w:val="0"/>
                <w:sz w:val="16"/>
              </w:rPr>
              <w:t>0.0827</w:t>
            </w:r>
          </w:p>
        </w:tc>
        <w:tc>
          <w:tcPr>
            <w:tcW w:type="dxa" w:w="2160"/>
          </w:tcPr>
          <w:p>
            <w:pPr>
              <w:jc w:val="center"/>
            </w:pPr>
            <w:r/>
            <w:r>
              <w:rPr>
                <w:rFonts w:ascii="Times New Roman" w:hAnsi="Times New Roman"/>
                <w:b w:val="0"/>
                <w:i w:val="0"/>
                <w:sz w:val="16"/>
              </w:rPr>
              <w:t>[0.0813, 0.0841]</w:t>
            </w:r>
          </w:p>
        </w:tc>
        <w:tc>
          <w:tcPr>
            <w:tcW w:type="dxa" w:w="2160"/>
          </w:tcPr>
          <w:p>
            <w:pPr>
              <w:jc w:val="center"/>
            </w:pPr>
            <w:r/>
            <w:r>
              <w:rPr>
                <w:rFonts w:ascii="Times New Roman" w:hAnsi="Times New Roman"/>
                <w:b w:val="0"/>
                <w:i w:val="0"/>
                <w:sz w:val="16"/>
              </w:rPr>
              <w:t>[0.0668, 0.1021]</w:t>
            </w:r>
          </w:p>
        </w:tc>
      </w:tr>
    </w:tbl>
    <w:p/>
    <w:p>
      <w:pPr>
        <w:spacing w:after="120"/>
      </w:pPr>
      <w:r>
        <w:rPr>
          <w:rFonts w:ascii="Times New Roman" w:hAnsi="Times New Roman"/>
          <w:b w:val="0"/>
          <w:i w:val="0"/>
          <w:sz w:val="20"/>
        </w:rPr>
        <w:t>Per-firm any-pair rates (no bootstrap; descriptive):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Firm</w:t>
            </w:r>
          </w:p>
        </w:tc>
        <w:tc>
          <w:tcPr>
            <w:tcW w:type="dxa" w:w="2160"/>
          </w:tcPr>
          <w:p>
            <w:pPr>
              <w:jc w:val="center"/>
            </w:pPr>
            <w:r/>
            <w:r>
              <w:rPr>
                <w:rFonts w:ascii="Times New Roman" w:hAnsi="Times New Roman"/>
                <w:b/>
                <w:i w:val="0"/>
                <w:sz w:val="16"/>
              </w:rPr>
              <w:t>n</w:t>
            </w:r>
            <w:r>
              <w:rPr>
                <w:rFonts w:ascii="Times New Roman" w:hAnsi="Times New Roman"/>
                <w:b/>
                <w:i w:val="0"/>
                <w:sz w:val="16"/>
                <w:vertAlign w:val="subscript"/>
              </w:rPr>
              <w:t>sig</w:t>
            </w:r>
          </w:p>
        </w:tc>
        <w:tc>
          <w:tcPr>
            <w:tcW w:type="dxa" w:w="2160"/>
          </w:tcPr>
          <w:p>
            <w:pPr>
              <w:jc w:val="center"/>
            </w:pPr>
            <w:r/>
            <w:r>
              <w:rPr>
                <w:rFonts w:ascii="Times New Roman" w:hAnsi="Times New Roman"/>
                <w:b/>
                <w:i w:val="0"/>
                <w:sz w:val="16"/>
              </w:rPr>
              <w:t>Any-pair ICCR</w:t>
            </w:r>
          </w:p>
        </w:tc>
        <w:tc>
          <w:tcPr>
            <w:tcW w:type="dxa" w:w="2160"/>
          </w:tcPr>
          <w:p>
            <w:pPr>
              <w:jc w:val="center"/>
            </w:pPr>
            <w:r/>
            <w:r>
              <w:rPr>
                <w:rFonts w:ascii="Times New Roman" w:hAnsi="Times New Roman"/>
                <w:b/>
                <w:i w:val="0"/>
                <w:sz w:val="16"/>
              </w:rPr>
              <w:t>Same-pair ICCR</w:t>
            </w:r>
          </w:p>
        </w:tc>
      </w:tr>
      <w:tr>
        <w:tc>
          <w:tcPr>
            <w:tcW w:type="dxa" w:w="2160"/>
          </w:tcPr>
          <w:p>
            <w:pPr>
              <w:jc w:val="center"/>
            </w:pPr>
            <w:r/>
            <w:r>
              <w:rPr>
                <w:rFonts w:ascii="Times New Roman" w:hAnsi="Times New Roman"/>
                <w:b w:val="0"/>
                <w:i w:val="0"/>
                <w:sz w:val="16"/>
              </w:rPr>
              <w:t>Firm A</w:t>
            </w:r>
          </w:p>
        </w:tc>
        <w:tc>
          <w:tcPr>
            <w:tcW w:type="dxa" w:w="2160"/>
          </w:tcPr>
          <w:p>
            <w:pPr>
              <w:jc w:val="center"/>
            </w:pPr>
            <w:r/>
            <w:r>
              <w:rPr>
                <w:rFonts w:ascii="Times New Roman" w:hAnsi="Times New Roman"/>
                <w:b w:val="0"/>
                <w:i w:val="0"/>
                <w:sz w:val="16"/>
              </w:rPr>
              <w:t>60,450</w:t>
            </w:r>
          </w:p>
        </w:tc>
        <w:tc>
          <w:tcPr>
            <w:tcW w:type="dxa" w:w="2160"/>
          </w:tcPr>
          <w:p>
            <w:pPr>
              <w:jc w:val="center"/>
            </w:pPr>
            <w:r/>
            <w:r>
              <w:rPr>
                <w:rFonts w:ascii="Times New Roman" w:hAnsi="Times New Roman"/>
                <w:b w:val="0"/>
                <w:i w:val="0"/>
                <w:sz w:val="16"/>
              </w:rPr>
              <w:t>0.2594</w:t>
            </w:r>
          </w:p>
        </w:tc>
        <w:tc>
          <w:tcPr>
            <w:tcW w:type="dxa" w:w="2160"/>
          </w:tcPr>
          <w:p>
            <w:pPr>
              <w:jc w:val="center"/>
            </w:pPr>
            <w:r/>
            <w:r>
              <w:rPr>
                <w:rFonts w:ascii="Times New Roman" w:hAnsi="Times New Roman"/>
                <w:b w:val="0"/>
                <w:i w:val="0"/>
                <w:sz w:val="16"/>
              </w:rPr>
              <w:t>0.2018</w:t>
            </w:r>
          </w:p>
        </w:tc>
      </w:tr>
      <w:tr>
        <w:tc>
          <w:tcPr>
            <w:tcW w:type="dxa" w:w="2160"/>
          </w:tcPr>
          <w:p>
            <w:pPr>
              <w:jc w:val="center"/>
            </w:pPr>
            <w:r/>
            <w:r>
              <w:rPr>
                <w:rFonts w:ascii="Times New Roman" w:hAnsi="Times New Roman"/>
                <w:b w:val="0"/>
                <w:i w:val="0"/>
                <w:sz w:val="16"/>
              </w:rPr>
              <w:t>Firm B</w:t>
            </w:r>
          </w:p>
        </w:tc>
        <w:tc>
          <w:tcPr>
            <w:tcW w:type="dxa" w:w="2160"/>
          </w:tcPr>
          <w:p>
            <w:pPr>
              <w:jc w:val="center"/>
            </w:pPr>
            <w:r/>
            <w:r>
              <w:rPr>
                <w:rFonts w:ascii="Times New Roman" w:hAnsi="Times New Roman"/>
                <w:b w:val="0"/>
                <w:i w:val="0"/>
                <w:sz w:val="16"/>
              </w:rPr>
              <w:t>34,254</w:t>
            </w:r>
          </w:p>
        </w:tc>
        <w:tc>
          <w:tcPr>
            <w:tcW w:type="dxa" w:w="2160"/>
          </w:tcPr>
          <w:p>
            <w:pPr>
              <w:jc w:val="center"/>
            </w:pPr>
            <w:r/>
            <w:r>
              <w:rPr>
                <w:rFonts w:ascii="Times New Roman" w:hAnsi="Times New Roman"/>
                <w:b w:val="0"/>
                <w:i w:val="0"/>
                <w:sz w:val="16"/>
              </w:rPr>
              <w:t>0.0147</w:t>
            </w:r>
          </w:p>
        </w:tc>
        <w:tc>
          <w:tcPr>
            <w:tcW w:type="dxa" w:w="2160"/>
          </w:tcPr>
          <w:p>
            <w:pPr>
              <w:jc w:val="center"/>
            </w:pPr>
            <w:r/>
            <w:r>
              <w:rPr>
                <w:rFonts w:ascii="Times New Roman" w:hAnsi="Times New Roman"/>
                <w:b w:val="0"/>
                <w:i w:val="0"/>
                <w:sz w:val="16"/>
              </w:rPr>
              <w:t>0.0023</w:t>
            </w:r>
          </w:p>
        </w:tc>
      </w:tr>
      <w:tr>
        <w:tc>
          <w:tcPr>
            <w:tcW w:type="dxa" w:w="2160"/>
          </w:tcPr>
          <w:p>
            <w:pPr>
              <w:jc w:val="center"/>
            </w:pPr>
            <w:r/>
            <w:r>
              <w:rPr>
                <w:rFonts w:ascii="Times New Roman" w:hAnsi="Times New Roman"/>
                <w:b w:val="0"/>
                <w:i w:val="0"/>
                <w:sz w:val="16"/>
              </w:rPr>
              <w:t>Firm C</w:t>
            </w:r>
          </w:p>
        </w:tc>
        <w:tc>
          <w:tcPr>
            <w:tcW w:type="dxa" w:w="2160"/>
          </w:tcPr>
          <w:p>
            <w:pPr>
              <w:jc w:val="center"/>
            </w:pPr>
            <w:r/>
            <w:r>
              <w:rPr>
                <w:rFonts w:ascii="Times New Roman" w:hAnsi="Times New Roman"/>
                <w:b w:val="0"/>
                <w:i w:val="0"/>
                <w:sz w:val="16"/>
              </w:rPr>
              <w:t>38,616</w:t>
            </w:r>
          </w:p>
        </w:tc>
        <w:tc>
          <w:tcPr>
            <w:tcW w:type="dxa" w:w="2160"/>
          </w:tcPr>
          <w:p>
            <w:pPr>
              <w:jc w:val="center"/>
            </w:pPr>
            <w:r/>
            <w:r>
              <w:rPr>
                <w:rFonts w:ascii="Times New Roman" w:hAnsi="Times New Roman"/>
                <w:b w:val="0"/>
                <w:i w:val="0"/>
                <w:sz w:val="16"/>
              </w:rPr>
              <w:t>0.0053</w:t>
            </w:r>
          </w:p>
        </w:tc>
        <w:tc>
          <w:tcPr>
            <w:tcW w:type="dxa" w:w="2160"/>
          </w:tcPr>
          <w:p>
            <w:pPr>
              <w:jc w:val="center"/>
            </w:pPr>
            <w:r/>
            <w:r>
              <w:rPr>
                <w:rFonts w:ascii="Times New Roman" w:hAnsi="Times New Roman"/>
                <w:b w:val="0"/>
                <w:i w:val="0"/>
                <w:sz w:val="16"/>
              </w:rPr>
              <w:t>0.0019</w:t>
            </w:r>
          </w:p>
        </w:tc>
      </w:tr>
      <w:tr>
        <w:tc>
          <w:tcPr>
            <w:tcW w:type="dxa" w:w="2160"/>
          </w:tcPr>
          <w:p>
            <w:pPr>
              <w:jc w:val="center"/>
            </w:pPr>
            <w:r/>
            <w:r>
              <w:rPr>
                <w:rFonts w:ascii="Times New Roman" w:hAnsi="Times New Roman"/>
                <w:b w:val="0"/>
                <w:i w:val="0"/>
                <w:sz w:val="16"/>
              </w:rPr>
              <w:t>Firm D</w:t>
            </w:r>
          </w:p>
        </w:tc>
        <w:tc>
          <w:tcPr>
            <w:tcW w:type="dxa" w:w="2160"/>
          </w:tcPr>
          <w:p>
            <w:pPr>
              <w:jc w:val="center"/>
            </w:pPr>
            <w:r/>
            <w:r>
              <w:rPr>
                <w:rFonts w:ascii="Times New Roman" w:hAnsi="Times New Roman"/>
                <w:b w:val="0"/>
                <w:i w:val="0"/>
                <w:sz w:val="16"/>
              </w:rPr>
              <w:t>17,133</w:t>
            </w:r>
          </w:p>
        </w:tc>
        <w:tc>
          <w:tcPr>
            <w:tcW w:type="dxa" w:w="2160"/>
          </w:tcPr>
          <w:p>
            <w:pPr>
              <w:jc w:val="center"/>
            </w:pPr>
            <w:r/>
            <w:r>
              <w:rPr>
                <w:rFonts w:ascii="Times New Roman" w:hAnsi="Times New Roman"/>
                <w:b w:val="0"/>
                <w:i w:val="0"/>
                <w:sz w:val="16"/>
              </w:rPr>
              <w:t>0.0110</w:t>
            </w:r>
          </w:p>
        </w:tc>
        <w:tc>
          <w:tcPr>
            <w:tcW w:type="dxa" w:w="2160"/>
          </w:tcPr>
          <w:p>
            <w:pPr>
              <w:jc w:val="center"/>
            </w:pPr>
            <w:r/>
            <w:r>
              <w:rPr>
                <w:rFonts w:ascii="Times New Roman" w:hAnsi="Times New Roman"/>
                <w:b w:val="0"/>
                <w:i w:val="0"/>
                <w:sz w:val="16"/>
              </w:rPr>
              <w:t>0.0051</w:t>
            </w:r>
          </w:p>
        </w:tc>
      </w:tr>
    </w:tbl>
    <w:p/>
    <w:p>
      <w:pPr>
        <w:spacing w:after="120"/>
      </w:pPr>
      <w:r>
        <w:rPr>
          <w:rFonts w:ascii="Times New Roman" w:hAnsi="Times New Roman"/>
          <w:b w:val="0"/>
          <w:i w:val="0"/>
          <w:sz w:val="20"/>
        </w:rPr>
        <w:t xml:space="preserve">Pool-size decile dependence. The deployed rule's pool-normalised rate is monotonically (broadly) increasing in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consistent with the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form expected under inter-CPA independence (Script 43 decile table). Decile 1 (smallest pools,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 [0, 201]</w:t>
      </w:r>
      <w:r>
        <w:rPr>
          <w:rFonts w:ascii="Times New Roman" w:hAnsi="Times New Roman"/>
          <w:b w:val="0"/>
          <w:i w:val="0"/>
          <w:sz w:val="20"/>
        </w:rPr>
        <w:t xml:space="preserve">): any-pair ICCR </w:t>
      </w:r>
      <w:r>
        <w:rPr>
          <w:rFonts w:ascii="Times New Roman" w:hAnsi="Times New Roman"/>
          <w:b w:val="0"/>
          <w:i w:val="0"/>
          <w:sz w:val="20"/>
        </w:rPr>
        <w:t>= 0.0249</w:t>
      </w:r>
      <w:r>
        <w:rPr>
          <w:rFonts w:ascii="Times New Roman" w:hAnsi="Times New Roman"/>
          <w:b w:val="0"/>
          <w:i w:val="0"/>
          <w:sz w:val="20"/>
        </w:rPr>
        <w:t xml:space="preserve">. Decile 10 (largest,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 [846, 1115]</w:t>
      </w:r>
      <w:r>
        <w:rPr>
          <w:rFonts w:ascii="Times New Roman" w:hAnsi="Times New Roman"/>
          <w:b w:val="0"/>
          <w:i w:val="0"/>
          <w:sz w:val="20"/>
        </w:rPr>
        <w:t xml:space="preserve">): any-pair ICCR </w:t>
      </w:r>
      <w:r>
        <w:rPr>
          <w:rFonts w:ascii="Times New Roman" w:hAnsi="Times New Roman"/>
          <w:b w:val="0"/>
          <w:i w:val="0"/>
          <w:sz w:val="20"/>
        </w:rPr>
        <w:t>= 0.1905</w:t>
      </w:r>
      <w:r>
        <w:rPr>
          <w:rFonts w:ascii="Times New Roman" w:hAnsi="Times New Roman"/>
          <w:b w:val="0"/>
          <w:i w:val="0"/>
          <w:sz w:val="20"/>
        </w:rPr>
        <w:t>. The trend is broadly monotonic with two minor non-monotone reversals (decile 5 and decile 9 dip below their predecessors).</w:t>
      </w:r>
    </w:p>
    <w:p>
      <w:pPr>
        <w:spacing w:after="120"/>
      </w:pPr>
      <w:r>
        <w:rPr>
          <w:rFonts w:ascii="Times New Roman" w:hAnsi="Times New Roman"/>
          <w:b w:val="0"/>
          <w:i w:val="0"/>
          <w:sz w:val="20"/>
        </w:rPr>
        <w:t xml:space="preserve">Threshold sensitivity at per-signature unit. Tightening the HC rule from </w:t>
      </w:r>
      <w:r>
        <w:rPr>
          <w:rFonts w:ascii="Times New Roman" w:hAnsi="Times New Roman"/>
          <w:b w:val="0"/>
          <w:i w:val="0"/>
          <w:sz w:val="20"/>
        </w:rPr>
        <w:t>dHash ≤ 5</w:t>
      </w:r>
      <w:r>
        <w:rPr>
          <w:rFonts w:ascii="Times New Roman" w:hAnsi="Times New Roman"/>
          <w:b w:val="0"/>
          <w:i w:val="0"/>
          <w:sz w:val="20"/>
        </w:rPr>
        <w:t xml:space="preserve"> to </w:t>
      </w:r>
      <w:r>
        <w:rPr>
          <w:rFonts w:ascii="Times New Roman" w:hAnsi="Times New Roman"/>
          <w:b w:val="0"/>
          <w:i w:val="0"/>
          <w:sz w:val="20"/>
        </w:rPr>
        <w:t>dHash ≤ 3</w:t>
      </w:r>
      <w:r>
        <w:rPr>
          <w:rFonts w:ascii="Times New Roman" w:hAnsi="Times New Roman"/>
          <w:b w:val="0"/>
          <w:i w:val="0"/>
          <w:sz w:val="20"/>
        </w:rPr>
        <w:t xml:space="preserve"> (same-pair) reduces the per-signature ICCR from </w:t>
      </w:r>
      <w:r>
        <w:rPr>
          <w:rFonts w:ascii="Times New Roman" w:hAnsi="Times New Roman"/>
          <w:b w:val="0"/>
          <w:i w:val="0"/>
          <w:sz w:val="20"/>
        </w:rPr>
        <w:t>0.0827</w:t>
      </w:r>
      <w:r>
        <w:rPr>
          <w:rFonts w:ascii="Times New Roman" w:hAnsi="Times New Roman"/>
          <w:b w:val="0"/>
          <w:i w:val="0"/>
          <w:sz w:val="20"/>
        </w:rPr>
        <w:t xml:space="preserve"> to </w:t>
      </w:r>
      <w:r>
        <w:rPr>
          <w:rFonts w:ascii="Times New Roman" w:hAnsi="Times New Roman"/>
          <w:b w:val="0"/>
          <w:i w:val="0"/>
          <w:sz w:val="20"/>
        </w:rPr>
        <w:t>0.0449</w:t>
      </w:r>
      <w:r>
        <w:rPr>
          <w:rFonts w:ascii="Times New Roman" w:hAnsi="Times New Roman"/>
          <w:b w:val="0"/>
          <w:i w:val="0"/>
          <w:sz w:val="20"/>
        </w:rPr>
        <w:t xml:space="preserve"> (Big-4 pooled); tightening to </w:t>
      </w:r>
      <w:r>
        <w:rPr>
          <w:rFonts w:ascii="Times New Roman" w:hAnsi="Times New Roman"/>
          <w:b w:val="0"/>
          <w:i w:val="0"/>
          <w:sz w:val="20"/>
        </w:rPr>
        <w:t>dHash ≤ 4</w:t>
      </w:r>
      <w:r>
        <w:rPr>
          <w:rFonts w:ascii="Times New Roman" w:hAnsi="Times New Roman"/>
          <w:b w:val="0"/>
          <w:i w:val="0"/>
          <w:sz w:val="20"/>
        </w:rPr>
        <w:t xml:space="preserve"> gives </w:t>
      </w:r>
      <w:r>
        <w:rPr>
          <w:rFonts w:ascii="Times New Roman" w:hAnsi="Times New Roman"/>
          <w:b w:val="0"/>
          <w:i w:val="0"/>
          <w:sz w:val="20"/>
        </w:rPr>
        <w:t>0.0639</w:t>
      </w:r>
      <w:r>
        <w:rPr>
          <w:rFonts w:ascii="Times New Roman" w:hAnsi="Times New Roman"/>
          <w:b w:val="0"/>
          <w:i w:val="0"/>
          <w:sz w:val="20"/>
        </w:rPr>
        <w:t xml:space="preserve"> (same-pair). A stricter operating point of dHash </w:t>
      </w:r>
      <w:r>
        <w:rPr>
          <w:rFonts w:ascii="Times New Roman" w:hAnsi="Times New Roman"/>
          <w:b w:val="0"/>
          <w:i w:val="0"/>
          <w:sz w:val="20"/>
        </w:rPr>
        <w:t>≤ 3</w:t>
      </w:r>
      <w:r>
        <w:rPr>
          <w:rFonts w:ascii="Times New Roman" w:hAnsi="Times New Roman"/>
          <w:b w:val="0"/>
          <w:i w:val="0"/>
          <w:sz w:val="20"/>
        </w:rPr>
        <w:t xml:space="preserve"> same-pair would correspond to a per-signature ICCR of </w:t>
      </w:r>
      <w:r>
        <w:rPr>
          <w:rFonts w:ascii="Times New Roman" w:hAnsi="Times New Roman"/>
          <w:b w:val="0"/>
          <w:i w:val="0"/>
          <w:sz w:val="20"/>
        </w:rPr>
        <w:t>≈ 0.05</w:t>
      </w:r>
      <w:r>
        <w:rPr>
          <w:rFonts w:ascii="Times New Roman" w:hAnsi="Times New Roman"/>
          <w:b w:val="0"/>
          <w:i w:val="0"/>
          <w:sz w:val="20"/>
        </w:rPr>
        <w:t xml:space="preserve">; the deployed HC any-pair rule with </w:t>
      </w:r>
      <w:r>
        <w:rPr>
          <w:rFonts w:ascii="Times New Roman" w:hAnsi="Times New Roman"/>
          <w:b w:val="0"/>
          <w:i w:val="0"/>
          <w:sz w:val="20"/>
        </w:rPr>
        <w:t>dHash ≤ 5</w:t>
      </w:r>
      <w:r>
        <w:rPr>
          <w:rFonts w:ascii="Times New Roman" w:hAnsi="Times New Roman"/>
          <w:b w:val="0"/>
          <w:i w:val="0"/>
          <w:sz w:val="20"/>
        </w:rPr>
        <w:t xml:space="preserve"> corresponds to </w:t>
      </w:r>
      <w:r>
        <w:rPr>
          <w:rFonts w:ascii="Times New Roman" w:hAnsi="Times New Roman"/>
          <w:b w:val="0"/>
          <w:i w:val="0"/>
          <w:sz w:val="20"/>
        </w:rPr>
        <w:t>≈ 0.11</w:t>
      </w:r>
      <w:r>
        <w:rPr>
          <w:rFonts w:ascii="Times New Roman" w:hAnsi="Times New Roman"/>
          <w:b w:val="0"/>
          <w:i w:val="0"/>
          <w:sz w:val="20"/>
        </w:rPr>
        <w:t xml:space="preserve">. Stakeholders requiring a tighter specificity proxy could consider the dHash </w:t>
      </w:r>
      <w:r>
        <w:rPr>
          <w:rFonts w:ascii="Times New Roman" w:hAnsi="Times New Roman"/>
          <w:b w:val="0"/>
          <w:i w:val="0"/>
          <w:sz w:val="20"/>
        </w:rPr>
        <w:t>≤ 3</w:t>
      </w:r>
      <w:r>
        <w:rPr>
          <w:rFonts w:ascii="Times New Roman" w:hAnsi="Times New Roman"/>
          <w:b w:val="0"/>
          <w:i w:val="0"/>
          <w:sz w:val="20"/>
        </w:rPr>
        <w:t xml:space="preserve"> same-pair variant, with the unsupervised-setting caveats of §III-M.</w:t>
      </w:r>
    </w:p>
    <w:p>
      <w:pPr>
        <w:pStyle w:val="Heading3"/>
      </w:pPr>
      <w:r>
        <w:rPr>
          <w:color w:val="000000"/>
        </w:rPr>
        <w:t>L.3. Document-level inter-CPA proxy alert rate (Script 45)</w:t>
      </w:r>
    </w:p>
    <w:p>
      <w:pPr>
        <w:spacing w:after="120"/>
      </w:pPr>
      <w:r>
        <w:rPr>
          <w:rFonts w:ascii="Times New Roman" w:hAnsi="Times New Roman"/>
          <w:b w:val="0"/>
          <w:i w:val="0"/>
          <w:sz w:val="20"/>
        </w:rPr>
        <w:t xml:space="preserve">The deployed worst-case aggregation classifies each document by the most-replication-consistent category among its constituent signatures (§III-H.1). Three operationally meaningful document-level alarm definitions are reported, each as the fraction of documents whose worst-case signature category falls in the alarm set under the same inter-CPA candidate-pool counterfactual as §III-L.2 (Script 45; </w:t>
      </w:r>
      <w:r>
        <w:rPr>
          <w:rFonts w:ascii="Times New Roman" w:hAnsi="Times New Roman"/>
          <w:b w:val="0"/>
          <w:i w:val="0"/>
          <w:sz w:val="20"/>
        </w:rPr>
        <w:t>n</w:t>
      </w:r>
      <w:r>
        <w:rPr>
          <w:rFonts w:ascii="Times New Roman" w:hAnsi="Times New Roman"/>
          <w:b w:val="0"/>
          <w:i w:val="0"/>
          <w:sz w:val="20"/>
          <w:vertAlign w:val="subscript"/>
        </w:rPr>
        <w:t>docs</w:t>
      </w:r>
      <w:r>
        <w:rPr>
          <w:rFonts w:ascii="Times New Roman" w:hAnsi="Times New Roman"/>
          <w:b w:val="0"/>
          <w:i w:val="0"/>
          <w:sz w:val="20"/>
        </w:rPr>
        <w:t xml:space="preserve"> = 75,233</w:t>
      </w:r>
      <w:r>
        <w:rPr>
          <w:rFonts w:ascii="Times New Roman" w:hAnsi="Times New Roman"/>
          <w:b w:val="0"/>
          <w:i w:val="0"/>
          <w:sz w:val="20"/>
        </w:rPr>
        <w:t xml:space="preserve"> Big-4 documents):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Alarm definition</w:t>
            </w:r>
          </w:p>
        </w:tc>
        <w:tc>
          <w:tcPr>
            <w:tcW w:type="dxa" w:w="2160"/>
          </w:tcPr>
          <w:p>
            <w:pPr>
              <w:jc w:val="center"/>
            </w:pPr>
            <w:r/>
            <w:r>
              <w:rPr>
                <w:rFonts w:ascii="Times New Roman" w:hAnsi="Times New Roman"/>
                <w:b/>
                <w:i w:val="0"/>
                <w:sz w:val="16"/>
              </w:rPr>
              <w:t>Alarm set</w:t>
            </w:r>
          </w:p>
        </w:tc>
        <w:tc>
          <w:tcPr>
            <w:tcW w:type="dxa" w:w="2160"/>
          </w:tcPr>
          <w:p>
            <w:pPr>
              <w:jc w:val="center"/>
            </w:pPr>
            <w:r/>
            <w:r>
              <w:rPr>
                <w:rFonts w:ascii="Times New Roman" w:hAnsi="Times New Roman"/>
                <w:b/>
                <w:i w:val="0"/>
                <w:sz w:val="16"/>
              </w:rPr>
              <w:t>Document-level ICCR</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D1</w:t>
            </w:r>
          </w:p>
        </w:tc>
        <w:tc>
          <w:tcPr>
            <w:tcW w:type="dxa" w:w="2160"/>
          </w:tcPr>
          <w:p>
            <w:pPr>
              <w:jc w:val="center"/>
            </w:pPr>
            <w:r/>
            <w:r>
              <w:rPr>
                <w:rFonts w:ascii="Times New Roman" w:hAnsi="Times New Roman"/>
                <w:b w:val="0"/>
                <w:i w:val="0"/>
                <w:sz w:val="16"/>
              </w:rPr>
              <w:t>HC only</w:t>
            </w:r>
          </w:p>
        </w:tc>
        <w:tc>
          <w:tcPr>
            <w:tcW w:type="dxa" w:w="2160"/>
          </w:tcPr>
          <w:p>
            <w:pPr>
              <w:jc w:val="center"/>
            </w:pPr>
            <w:r/>
            <w:r>
              <w:rPr>
                <w:rFonts w:ascii="Times New Roman" w:hAnsi="Times New Roman"/>
                <w:b w:val="0"/>
                <w:i w:val="0"/>
                <w:sz w:val="16"/>
              </w:rPr>
              <w:t>0.1797</w:t>
            </w:r>
          </w:p>
        </w:tc>
        <w:tc>
          <w:tcPr>
            <w:tcW w:type="dxa" w:w="2160"/>
          </w:tcPr>
          <w:p>
            <w:pPr>
              <w:jc w:val="center"/>
            </w:pPr>
            <w:r/>
            <w:r>
              <w:rPr>
                <w:rFonts w:ascii="Times New Roman" w:hAnsi="Times New Roman"/>
                <w:b w:val="0"/>
                <w:i w:val="0"/>
                <w:sz w:val="16"/>
              </w:rPr>
              <w:t>[0.1770, 0.1825]</w:t>
            </w:r>
          </w:p>
        </w:tc>
      </w:tr>
      <w:tr>
        <w:tc>
          <w:tcPr>
            <w:tcW w:type="dxa" w:w="2160"/>
          </w:tcPr>
          <w:p>
            <w:pPr>
              <w:jc w:val="center"/>
            </w:pPr>
            <w:r/>
            <w:r>
              <w:rPr>
                <w:rFonts w:ascii="Times New Roman" w:hAnsi="Times New Roman"/>
                <w:b w:val="0"/>
                <w:i w:val="0"/>
                <w:sz w:val="16"/>
              </w:rPr>
              <w:t>D2</w:t>
            </w:r>
          </w:p>
        </w:tc>
        <w:tc>
          <w:tcPr>
            <w:tcW w:type="dxa" w:w="2160"/>
          </w:tcPr>
          <w:p>
            <w:pPr>
              <w:jc w:val="center"/>
            </w:pPr>
            <w:r/>
            <w:r>
              <w:rPr>
                <w:rFonts w:ascii="Times New Roman" w:hAnsi="Times New Roman"/>
                <w:b w:val="0"/>
                <w:i w:val="0"/>
                <w:sz w:val="16"/>
              </w:rPr>
              <w:t>HC + MC ("any non-hand-signed screening label")</w:t>
            </w:r>
          </w:p>
        </w:tc>
        <w:tc>
          <w:tcPr>
            <w:tcW w:type="dxa" w:w="2160"/>
          </w:tcPr>
          <w:p>
            <w:pPr>
              <w:jc w:val="center"/>
            </w:pPr>
            <w:r/>
            <w:r>
              <w:rPr>
                <w:rFonts w:ascii="Times New Roman" w:hAnsi="Times New Roman"/>
                <w:b w:val="0"/>
                <w:i w:val="0"/>
                <w:sz w:val="16"/>
              </w:rPr>
              <w:t>0.3375</w:t>
            </w:r>
          </w:p>
        </w:tc>
        <w:tc>
          <w:tcPr>
            <w:tcW w:type="dxa" w:w="2160"/>
          </w:tcPr>
          <w:p>
            <w:pPr>
              <w:jc w:val="center"/>
            </w:pPr>
            <w:r/>
            <w:r>
              <w:rPr>
                <w:rFonts w:ascii="Times New Roman" w:hAnsi="Times New Roman"/>
                <w:b w:val="0"/>
                <w:i w:val="0"/>
                <w:sz w:val="16"/>
              </w:rPr>
              <w:t>[0.3342, 0.3409]</w:t>
            </w:r>
          </w:p>
        </w:tc>
      </w:tr>
      <w:tr>
        <w:tc>
          <w:tcPr>
            <w:tcW w:type="dxa" w:w="2160"/>
          </w:tcPr>
          <w:p>
            <w:pPr>
              <w:jc w:val="center"/>
            </w:pPr>
            <w:r/>
            <w:r>
              <w:rPr>
                <w:rFonts w:ascii="Times New Roman" w:hAnsi="Times New Roman"/>
                <w:b w:val="0"/>
                <w:i w:val="0"/>
                <w:sz w:val="16"/>
              </w:rPr>
              <w:t>D3</w:t>
            </w:r>
          </w:p>
        </w:tc>
        <w:tc>
          <w:tcPr>
            <w:tcW w:type="dxa" w:w="2160"/>
          </w:tcPr>
          <w:p>
            <w:pPr>
              <w:jc w:val="center"/>
            </w:pPr>
            <w:r/>
            <w:r>
              <w:rPr>
                <w:rFonts w:ascii="Times New Roman" w:hAnsi="Times New Roman"/>
                <w:b w:val="0"/>
                <w:i w:val="0"/>
                <w:sz w:val="16"/>
              </w:rPr>
              <w:t>HC + MC + HSC</w:t>
            </w:r>
          </w:p>
        </w:tc>
        <w:tc>
          <w:tcPr>
            <w:tcW w:type="dxa" w:w="2160"/>
          </w:tcPr>
          <w:p>
            <w:pPr>
              <w:jc w:val="center"/>
            </w:pPr>
            <w:r/>
            <w:r>
              <w:rPr>
                <w:rFonts w:ascii="Times New Roman" w:hAnsi="Times New Roman"/>
                <w:b w:val="0"/>
                <w:i w:val="0"/>
                <w:sz w:val="16"/>
              </w:rPr>
              <w:t>0.3384</w:t>
            </w:r>
          </w:p>
        </w:tc>
        <w:tc>
          <w:tcPr>
            <w:tcW w:type="dxa" w:w="2160"/>
          </w:tcPr>
          <w:p>
            <w:pPr>
              <w:jc w:val="center"/>
            </w:pPr>
            <w:r/>
            <w:r>
              <w:rPr>
                <w:rFonts w:ascii="Times New Roman" w:hAnsi="Times New Roman"/>
                <w:b w:val="0"/>
                <w:i w:val="0"/>
                <w:sz w:val="16"/>
              </w:rPr>
              <w:t>[0.3351, 0.3418]</w:t>
            </w:r>
          </w:p>
        </w:tc>
      </w:tr>
    </w:tbl>
    <w:p/>
    <w:p>
      <w:pPr>
        <w:spacing w:after="120"/>
      </w:pPr>
      <w:r>
        <w:rPr>
          <w:rFonts w:ascii="Times New Roman" w:hAnsi="Times New Roman"/>
          <w:b w:val="0"/>
          <w:i w:val="0"/>
          <w:sz w:val="20"/>
        </w:rPr>
        <w:t>Per-firm D2 document-level rates: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Firm</w:t>
            </w:r>
          </w:p>
        </w:tc>
        <w:tc>
          <w:tcPr>
            <w:tcW w:type="dxa" w:w="2880"/>
          </w:tcPr>
          <w:p>
            <w:pPr>
              <w:jc w:val="center"/>
            </w:pPr>
            <w:r/>
            <w:r>
              <w:rPr>
                <w:rFonts w:ascii="Times New Roman" w:hAnsi="Times New Roman"/>
                <w:b/>
                <w:i w:val="0"/>
                <w:sz w:val="16"/>
              </w:rPr>
              <w:t>n</w:t>
            </w:r>
            <w:r>
              <w:rPr>
                <w:rFonts w:ascii="Times New Roman" w:hAnsi="Times New Roman"/>
                <w:b/>
                <w:i w:val="0"/>
                <w:sz w:val="16"/>
                <w:vertAlign w:val="subscript"/>
              </w:rPr>
              <w:t>docs</w:t>
            </w:r>
          </w:p>
        </w:tc>
        <w:tc>
          <w:tcPr>
            <w:tcW w:type="dxa" w:w="2880"/>
          </w:tcPr>
          <w:p>
            <w:pPr>
              <w:jc w:val="center"/>
            </w:pPr>
            <w:r/>
            <w:r>
              <w:rPr>
                <w:rFonts w:ascii="Times New Roman" w:hAnsi="Times New Roman"/>
                <w:b/>
                <w:i w:val="0"/>
                <w:sz w:val="16"/>
              </w:rPr>
              <w:t>D2 (HC + MC) ICCR</w:t>
            </w:r>
          </w:p>
        </w:tc>
      </w:tr>
      <w:tr>
        <w:tc>
          <w:tcPr>
            <w:tcW w:type="dxa" w:w="2880"/>
          </w:tcPr>
          <w:p>
            <w:pPr>
              <w:jc w:val="center"/>
            </w:pPr>
            <w:r/>
            <w:r>
              <w:rPr>
                <w:rFonts w:ascii="Times New Roman" w:hAnsi="Times New Roman"/>
                <w:b w:val="0"/>
                <w:i w:val="0"/>
                <w:sz w:val="16"/>
              </w:rPr>
              <w:t>Firm A</w:t>
            </w:r>
          </w:p>
        </w:tc>
        <w:tc>
          <w:tcPr>
            <w:tcW w:type="dxa" w:w="2880"/>
          </w:tcPr>
          <w:p>
            <w:pPr>
              <w:jc w:val="center"/>
            </w:pPr>
            <w:r/>
            <w:r>
              <w:rPr>
                <w:rFonts w:ascii="Times New Roman" w:hAnsi="Times New Roman"/>
                <w:b w:val="0"/>
                <w:i w:val="0"/>
                <w:sz w:val="16"/>
              </w:rPr>
              <w:t>30,226</w:t>
            </w:r>
          </w:p>
        </w:tc>
        <w:tc>
          <w:tcPr>
            <w:tcW w:type="dxa" w:w="2880"/>
          </w:tcPr>
          <w:p>
            <w:pPr>
              <w:jc w:val="center"/>
            </w:pPr>
            <w:r/>
            <w:r>
              <w:rPr>
                <w:rFonts w:ascii="Times New Roman" w:hAnsi="Times New Roman"/>
                <w:b w:val="0"/>
                <w:i w:val="0"/>
                <w:sz w:val="16"/>
              </w:rPr>
              <w:t>0.6201</w:t>
            </w:r>
          </w:p>
        </w:tc>
      </w:tr>
      <w:tr>
        <w:tc>
          <w:tcPr>
            <w:tcW w:type="dxa" w:w="2880"/>
          </w:tcPr>
          <w:p>
            <w:pPr>
              <w:jc w:val="center"/>
            </w:pPr>
            <w:r/>
            <w:r>
              <w:rPr>
                <w:rFonts w:ascii="Times New Roman" w:hAnsi="Times New Roman"/>
                <w:b w:val="0"/>
                <w:i w:val="0"/>
                <w:sz w:val="16"/>
              </w:rPr>
              <w:t>Firm B</w:t>
            </w:r>
          </w:p>
        </w:tc>
        <w:tc>
          <w:tcPr>
            <w:tcW w:type="dxa" w:w="2880"/>
          </w:tcPr>
          <w:p>
            <w:pPr>
              <w:jc w:val="center"/>
            </w:pPr>
            <w:r/>
            <w:r>
              <w:rPr>
                <w:rFonts w:ascii="Times New Roman" w:hAnsi="Times New Roman"/>
                <w:b w:val="0"/>
                <w:i w:val="0"/>
                <w:sz w:val="16"/>
              </w:rPr>
              <w:t>17,127</w:t>
            </w:r>
          </w:p>
        </w:tc>
        <w:tc>
          <w:tcPr>
            <w:tcW w:type="dxa" w:w="2880"/>
          </w:tcPr>
          <w:p>
            <w:pPr>
              <w:jc w:val="center"/>
            </w:pPr>
            <w:r/>
            <w:r>
              <w:rPr>
                <w:rFonts w:ascii="Times New Roman" w:hAnsi="Times New Roman"/>
                <w:b w:val="0"/>
                <w:i w:val="0"/>
                <w:sz w:val="16"/>
              </w:rPr>
              <w:t>0.1600</w:t>
            </w:r>
          </w:p>
        </w:tc>
      </w:tr>
      <w:tr>
        <w:tc>
          <w:tcPr>
            <w:tcW w:type="dxa" w:w="2880"/>
          </w:tcPr>
          <w:p>
            <w:pPr>
              <w:jc w:val="center"/>
            </w:pPr>
            <w:r/>
            <w:r>
              <w:rPr>
                <w:rFonts w:ascii="Times New Roman" w:hAnsi="Times New Roman"/>
                <w:b w:val="0"/>
                <w:i w:val="0"/>
                <w:sz w:val="16"/>
              </w:rPr>
              <w:t>Firm C</w:t>
            </w:r>
          </w:p>
        </w:tc>
        <w:tc>
          <w:tcPr>
            <w:tcW w:type="dxa" w:w="2880"/>
          </w:tcPr>
          <w:p>
            <w:pPr>
              <w:jc w:val="center"/>
            </w:pPr>
            <w:r/>
            <w:r>
              <w:rPr>
                <w:rFonts w:ascii="Times New Roman" w:hAnsi="Times New Roman"/>
                <w:b w:val="0"/>
                <w:i w:val="0"/>
                <w:sz w:val="16"/>
              </w:rPr>
              <w:t>19,501</w:t>
            </w:r>
          </w:p>
        </w:tc>
        <w:tc>
          <w:tcPr>
            <w:tcW w:type="dxa" w:w="2880"/>
          </w:tcPr>
          <w:p>
            <w:pPr>
              <w:jc w:val="center"/>
            </w:pPr>
            <w:r/>
            <w:r>
              <w:rPr>
                <w:rFonts w:ascii="Times New Roman" w:hAnsi="Times New Roman"/>
                <w:b w:val="0"/>
                <w:i w:val="0"/>
                <w:sz w:val="16"/>
              </w:rPr>
              <w:t>0.1635</w:t>
            </w:r>
          </w:p>
        </w:tc>
      </w:tr>
      <w:tr>
        <w:tc>
          <w:tcPr>
            <w:tcW w:type="dxa" w:w="2880"/>
          </w:tcPr>
          <w:p>
            <w:pPr>
              <w:jc w:val="center"/>
            </w:pPr>
            <w:r/>
            <w:r>
              <w:rPr>
                <w:rFonts w:ascii="Times New Roman" w:hAnsi="Times New Roman"/>
                <w:b w:val="0"/>
                <w:i w:val="0"/>
                <w:sz w:val="16"/>
              </w:rPr>
              <w:t>Firm D</w:t>
            </w:r>
          </w:p>
        </w:tc>
        <w:tc>
          <w:tcPr>
            <w:tcW w:type="dxa" w:w="2880"/>
          </w:tcPr>
          <w:p>
            <w:pPr>
              <w:jc w:val="center"/>
            </w:pPr>
            <w:r/>
            <w:r>
              <w:rPr>
                <w:rFonts w:ascii="Times New Roman" w:hAnsi="Times New Roman"/>
                <w:b w:val="0"/>
                <w:i w:val="0"/>
                <w:sz w:val="16"/>
              </w:rPr>
              <w:t>8,379</w:t>
            </w:r>
          </w:p>
        </w:tc>
        <w:tc>
          <w:tcPr>
            <w:tcW w:type="dxa" w:w="2880"/>
          </w:tcPr>
          <w:p>
            <w:pPr>
              <w:jc w:val="center"/>
            </w:pPr>
            <w:r/>
            <w:r>
              <w:rPr>
                <w:rFonts w:ascii="Times New Roman" w:hAnsi="Times New Roman"/>
                <w:b w:val="0"/>
                <w:i w:val="0"/>
                <w:sz w:val="16"/>
              </w:rPr>
              <w:t>0.0863</w:t>
            </w:r>
          </w:p>
        </w:tc>
      </w:tr>
    </w:tbl>
    <w:p/>
    <w:p>
      <w:pPr>
        <w:spacing w:after="120"/>
      </w:pPr>
      <w:r>
        <w:rPr>
          <w:rFonts w:ascii="Times New Roman" w:hAnsi="Times New Roman"/>
          <w:b w:val="0"/>
          <w:i w:val="0"/>
          <w:sz w:val="20"/>
        </w:rPr>
        <w:t xml:space="preserve">The document-level D2 rate of </w:t>
      </w:r>
      <w:r>
        <w:rPr>
          <w:rFonts w:ascii="Times New Roman" w:hAnsi="Times New Roman"/>
          <w:b w:val="0"/>
          <w:i w:val="0"/>
          <w:sz w:val="20"/>
        </w:rPr>
        <w:t>33.75%</w:t>
      </w:r>
      <w:r>
        <w:rPr>
          <w:rFonts w:ascii="Times New Roman" w:hAnsi="Times New Roman"/>
          <w:b w:val="0"/>
          <w:i w:val="0"/>
          <w:sz w:val="20"/>
        </w:rPr>
        <w:t xml:space="preserve"> pooled over Big-4 is the most operationally relevant alarm-rate metric: it is the fraction of audit documents that would carry at least one signature flagged HC or MC under the counterfactual of inter-CPA candidate-pool replacement. The non-trivial per-document inter-CPA alarm rate (and its concentration in Firm A at </w:t>
      </w:r>
      <w:r>
        <w:rPr>
          <w:rFonts w:ascii="Times New Roman" w:hAnsi="Times New Roman"/>
          <w:b w:val="0"/>
          <w:i w:val="0"/>
          <w:sz w:val="20"/>
        </w:rPr>
        <w:t>62%</w:t>
      </w:r>
      <w:r>
        <w:rPr>
          <w:rFonts w:ascii="Times New Roman" w:hAnsi="Times New Roman"/>
          <w:b w:val="0"/>
          <w:i w:val="0"/>
          <w:sz w:val="20"/>
        </w:rPr>
        <w:t>) motivates the positioning of the operational system as a screening framework with human-in-the-loop review, not as an autonomous forensic classifier (§III-M).</w:t>
      </w:r>
    </w:p>
    <w:p>
      <w:pPr>
        <w:pStyle w:val="Heading3"/>
      </w:pPr>
      <w:r>
        <w:rPr>
          <w:color w:val="000000"/>
        </w:rPr>
        <w:t>L.4. Firm heterogeneity (Script 44)</w:t>
      </w:r>
    </w:p>
    <w:p>
      <w:pPr>
        <w:spacing w:after="120"/>
      </w:pPr>
      <w:r>
        <w:rPr>
          <w:rFonts w:ascii="Times New Roman" w:hAnsi="Times New Roman"/>
          <w:b w:val="0"/>
          <w:i w:val="0"/>
          <w:sz w:val="20"/>
        </w:rPr>
        <w:t xml:space="preserve">§III-L.2 and §III-L.3 report large per-firm variation in the deployed rule's pool-normalised behaviour: Firm A's any-pair per-signature ICCR is </w:t>
      </w:r>
      <w:r>
        <w:rPr>
          <w:rFonts w:ascii="Times New Roman" w:hAnsi="Times New Roman"/>
          <w:b w:val="0"/>
          <w:i w:val="0"/>
          <w:sz w:val="20"/>
        </w:rPr>
        <w:t>0.2594</w:t>
      </w:r>
      <w:r>
        <w:rPr>
          <w:rFonts w:ascii="Times New Roman" w:hAnsi="Times New Roman"/>
          <w:b w:val="0"/>
          <w:i w:val="0"/>
          <w:sz w:val="20"/>
        </w:rPr>
        <w:t xml:space="preserve">, an order of magnitude larger than Firm B's </w:t>
      </w:r>
      <w:r>
        <w:rPr>
          <w:rFonts w:ascii="Times New Roman" w:hAnsi="Times New Roman"/>
          <w:b w:val="0"/>
          <w:i w:val="0"/>
          <w:sz w:val="20"/>
        </w:rPr>
        <w:t>0.0147</w:t>
      </w:r>
      <w:r>
        <w:rPr>
          <w:rFonts w:ascii="Times New Roman" w:hAnsi="Times New Roman"/>
          <w:b w:val="0"/>
          <w:i w:val="0"/>
          <w:sz w:val="20"/>
        </w:rPr>
        <w:t xml:space="preserve">, Firm C's </w:t>
      </w:r>
      <w:r>
        <w:rPr>
          <w:rFonts w:ascii="Times New Roman" w:hAnsi="Times New Roman"/>
          <w:b w:val="0"/>
          <w:i w:val="0"/>
          <w:sz w:val="20"/>
        </w:rPr>
        <w:t>0.0053</w:t>
      </w:r>
      <w:r>
        <w:rPr>
          <w:rFonts w:ascii="Times New Roman" w:hAnsi="Times New Roman"/>
          <w:b w:val="0"/>
          <w:i w:val="0"/>
          <w:sz w:val="20"/>
        </w:rPr>
        <w:t xml:space="preserve">, Firm D's </w:t>
      </w:r>
      <w:r>
        <w:rPr>
          <w:rFonts w:ascii="Times New Roman" w:hAnsi="Times New Roman"/>
          <w:b w:val="0"/>
          <w:i w:val="0"/>
          <w:sz w:val="20"/>
        </w:rPr>
        <w:t>0.0110</w:t>
      </w:r>
      <w:r>
        <w:rPr>
          <w:rFonts w:ascii="Times New Roman" w:hAnsi="Times New Roman"/>
          <w:b w:val="0"/>
          <w:i w:val="0"/>
          <w:sz w:val="20"/>
        </w:rPr>
        <w:t>. A natural alternative explanation is the pool-size confound: Firm A's median pool size (</w:t>
      </w:r>
      <w:r>
        <w:rPr>
          <w:rFonts w:ascii="Times New Roman" w:hAnsi="Times New Roman"/>
          <w:b w:val="0"/>
          <w:i w:val="0"/>
          <w:sz w:val="20"/>
        </w:rPr>
        <w:t>~ 285</w:t>
      </w:r>
      <w:r>
        <w:rPr>
          <w:rFonts w:ascii="Times New Roman" w:hAnsi="Times New Roman"/>
          <w:b w:val="0"/>
          <w:i w:val="0"/>
          <w:sz w:val="20"/>
        </w:rPr>
        <w:t>) is larger than other firms', and pool size monotonically (broadly) increases the per-signature rate (§III-L.2 decile trend). We test the firm-vs-pool confound with a logistic regression of the per-signature hit indicator (any-pair HC) on firm dummies (Firm A = reference) and centred log pool size (Script 44):</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Term</w:t>
            </w:r>
          </w:p>
        </w:tc>
        <w:tc>
          <w:tcPr>
            <w:tcW w:type="dxa" w:w="2160"/>
          </w:tcPr>
          <w:p>
            <w:pPr>
              <w:jc w:val="center"/>
            </w:pPr>
            <w:r/>
            <w:r>
              <w:rPr>
                <w:rFonts w:ascii="Times New Roman" w:hAnsi="Times New Roman"/>
                <w:b/>
                <w:i w:val="0"/>
                <w:sz w:val="16"/>
              </w:rPr>
              <w:t>Odds ratio (vs Firm A)</w:t>
            </w:r>
          </w:p>
        </w:tc>
        <w:tc>
          <w:tcPr>
            <w:tcW w:type="dxa" w:w="2160"/>
          </w:tcPr>
          <w:p>
            <w:pPr>
              <w:jc w:val="center"/>
            </w:pPr>
            <w:r/>
            <w:r>
              <w:rPr>
                <w:rFonts w:ascii="Times New Roman" w:hAnsi="Times New Roman"/>
                <w:b/>
                <w:i w:val="0"/>
                <w:sz w:val="16"/>
              </w:rPr>
              <w:t>Direction</w:t>
            </w:r>
          </w:p>
        </w:tc>
        <w:tc>
          <w:tcPr>
            <w:tcW w:type="dxa" w:w="2160"/>
          </w:tcPr>
          <w:p>
            <w:pPr>
              <w:jc w:val="center"/>
            </w:pPr>
            <w:r/>
            <w:r>
              <w:rPr>
                <w:rFonts w:ascii="Times New Roman" w:hAnsi="Times New Roman"/>
                <w:b/>
                <w:i w:val="0"/>
                <w:sz w:val="16"/>
              </w:rPr>
              <w:t>Magnitude</w:t>
            </w:r>
          </w:p>
        </w:tc>
      </w:tr>
      <w:tr>
        <w:tc>
          <w:tcPr>
            <w:tcW w:type="dxa" w:w="2160"/>
          </w:tcPr>
          <w:p>
            <w:pPr>
              <w:jc w:val="center"/>
            </w:pPr>
            <w:r/>
            <w:r>
              <w:rPr>
                <w:rFonts w:ascii="Times New Roman" w:hAnsi="Times New Roman"/>
                <w:b w:val="0"/>
                <w:i w:val="0"/>
                <w:sz w:val="16"/>
              </w:rPr>
              <w:t>Firm B</w:t>
            </w:r>
          </w:p>
        </w:tc>
        <w:tc>
          <w:tcPr>
            <w:tcW w:type="dxa" w:w="2160"/>
          </w:tcPr>
          <w:p>
            <w:pPr>
              <w:jc w:val="center"/>
            </w:pPr>
            <w:r/>
            <w:r>
              <w:rPr>
                <w:rFonts w:ascii="Times New Roman" w:hAnsi="Times New Roman"/>
                <w:b w:val="0"/>
                <w:i w:val="0"/>
                <w:sz w:val="16"/>
              </w:rPr>
              <w:t>0.053</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19×</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Firm C</w:t>
            </w:r>
          </w:p>
        </w:tc>
        <w:tc>
          <w:tcPr>
            <w:tcW w:type="dxa" w:w="2160"/>
          </w:tcPr>
          <w:p>
            <w:pPr>
              <w:jc w:val="center"/>
            </w:pPr>
            <w:r/>
            <w:r>
              <w:rPr>
                <w:rFonts w:ascii="Times New Roman" w:hAnsi="Times New Roman"/>
                <w:b w:val="0"/>
                <w:i w:val="0"/>
                <w:sz w:val="16"/>
              </w:rPr>
              <w:t>0.010</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100×</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Firm D</w:t>
            </w:r>
          </w:p>
        </w:tc>
        <w:tc>
          <w:tcPr>
            <w:tcW w:type="dxa" w:w="2160"/>
          </w:tcPr>
          <w:p>
            <w:pPr>
              <w:jc w:val="center"/>
            </w:pPr>
            <w:r/>
            <w:r>
              <w:rPr>
                <w:rFonts w:ascii="Times New Roman" w:hAnsi="Times New Roman"/>
                <w:b w:val="0"/>
                <w:i w:val="0"/>
                <w:sz w:val="16"/>
              </w:rPr>
              <w:t>0.027</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37×</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log(pool size, centred)</w:t>
            </w:r>
          </w:p>
        </w:tc>
        <w:tc>
          <w:tcPr>
            <w:tcW w:type="dxa" w:w="2160"/>
          </w:tcPr>
          <w:p>
            <w:pPr>
              <w:jc w:val="center"/>
            </w:pPr>
            <w:r/>
            <w:r>
              <w:rPr>
                <w:rFonts w:ascii="Times New Roman" w:hAnsi="Times New Roman"/>
                <w:b w:val="0"/>
                <w:i w:val="0"/>
                <w:sz w:val="16"/>
              </w:rPr>
              <w:t>4.01</w:t>
            </w:r>
          </w:p>
        </w:tc>
        <w:tc>
          <w:tcPr>
            <w:tcW w:type="dxa" w:w="2160"/>
          </w:tcPr>
          <w:p>
            <w:pPr>
              <w:jc w:val="center"/>
            </w:pPr>
            <w:r/>
            <w:r>
              <w:rPr>
                <w:rFonts w:ascii="Times New Roman" w:hAnsi="Times New Roman"/>
                <w:b w:val="0"/>
                <w:i w:val="0"/>
                <w:sz w:val="16"/>
              </w:rPr>
              <w:t>&gt; 1</w:t>
            </w:r>
          </w:p>
        </w:tc>
        <w:tc>
          <w:tcPr>
            <w:tcW w:type="dxa" w:w="2160"/>
          </w:tcPr>
          <w:p>
            <w:pPr>
              <w:jc w:val="center"/>
            </w:pPr>
            <w:r/>
            <w:r>
              <w:rPr>
                <w:rFonts w:ascii="Times New Roman" w:hAnsi="Times New Roman"/>
                <w:b w:val="0"/>
                <w:i w:val="0"/>
                <w:sz w:val="16"/>
              </w:rPr>
              <w:t>~ 4×</w:t>
            </w:r>
            <w:r>
              <w:rPr>
                <w:rFonts w:ascii="Times New Roman" w:hAnsi="Times New Roman"/>
                <w:b w:val="0"/>
                <w:i w:val="0"/>
                <w:sz w:val="16"/>
              </w:rPr>
              <w:t xml:space="preserve"> higher odds per unit log pool size</w:t>
            </w:r>
          </w:p>
        </w:tc>
      </w:tr>
    </w:tbl>
    <w:p/>
    <w:p>
      <w:pPr>
        <w:spacing w:after="120"/>
      </w:pPr>
      <w:r>
        <w:rPr>
          <w:rFonts w:ascii="Times New Roman" w:hAnsi="Times New Roman"/>
          <w:b w:val="0"/>
          <w:i w:val="0"/>
          <w:sz w:val="20"/>
        </w:rPr>
        <w:t xml:space="preserve">The Firm B/C/D odds ratios are very small after controlling for pool size, indicating that firm membership accounts for a large multiplicative effect on the per-signature rate that is not explained by pool size alone. (We report odds ratios rather than </w:t>
      </w:r>
      <w:r>
        <w:rPr>
          <w:rFonts w:ascii="Times New Roman" w:hAnsi="Times New Roman"/>
          <w:b w:val="0"/>
          <w:i w:val="0"/>
          <w:sz w:val="20"/>
        </w:rPr>
        <w:t>z</w:t>
      </w:r>
      <w:r>
        <w:rPr>
          <w:rFonts w:ascii="Times New Roman" w:hAnsi="Times New Roman"/>
          <w:b w:val="0"/>
          <w:i w:val="0"/>
          <w:sz w:val="20"/>
        </w:rPr>
        <w:t>-scores because per-signature observations are clustered by CPA and firm, and naive standard errors would be unreliable under within-cluster correlation; a cluster-robust standard error analysis is left as a robustness check.)</w:t>
      </w:r>
    </w:p>
    <w:p>
      <w:pPr>
        <w:spacing w:after="120"/>
      </w:pPr>
      <w:r>
        <w:rPr>
          <w:rFonts w:ascii="Times New Roman" w:hAnsi="Times New Roman"/>
          <w:b w:val="0"/>
          <w:i w:val="0"/>
          <w:sz w:val="20"/>
        </w:rPr>
        <w:t xml:space="preserve">The per-decile per-firm breakdown (Script 44) confirms the pattern: within every pool-size decile, Firms B/C/D have rates of </w:t>
      </w:r>
      <w:r>
        <w:rPr>
          <w:rFonts w:ascii="Times New Roman" w:hAnsi="Times New Roman"/>
          <w:b w:val="0"/>
          <w:i w:val="0"/>
          <w:sz w:val="20"/>
        </w:rPr>
        <w:t>0.0006</w:t>
      </w:r>
      <w:r>
        <w:rPr>
          <w:rFonts w:ascii="Times New Roman" w:hAnsi="Times New Roman"/>
          <w:b w:val="0"/>
          <w:i w:val="0"/>
          <w:sz w:val="20"/>
        </w:rPr>
        <w:t>–</w:t>
      </w:r>
      <w:r>
        <w:rPr>
          <w:rFonts w:ascii="Times New Roman" w:hAnsi="Times New Roman"/>
          <w:b w:val="0"/>
          <w:i w:val="0"/>
          <w:sz w:val="20"/>
        </w:rPr>
        <w:t>0.0358</w:t>
      </w:r>
      <w:r>
        <w:rPr>
          <w:rFonts w:ascii="Times New Roman" w:hAnsi="Times New Roman"/>
          <w:b w:val="0"/>
          <w:i w:val="0"/>
          <w:sz w:val="20"/>
        </w:rPr>
        <w:t xml:space="preserve">, while Firm A's rate ranges </w:t>
      </w:r>
      <w:r>
        <w:rPr>
          <w:rFonts w:ascii="Times New Roman" w:hAnsi="Times New Roman"/>
          <w:b w:val="0"/>
          <w:i w:val="0"/>
          <w:sz w:val="20"/>
        </w:rPr>
        <w:t>0.0541</w:t>
      </w:r>
      <w:r>
        <w:rPr>
          <w:rFonts w:ascii="Times New Roman" w:hAnsi="Times New Roman"/>
          <w:b w:val="0"/>
          <w:i w:val="0"/>
          <w:sz w:val="20"/>
        </w:rPr>
        <w:t>–</w:t>
      </w:r>
      <w:r>
        <w:rPr>
          <w:rFonts w:ascii="Times New Roman" w:hAnsi="Times New Roman"/>
          <w:b w:val="0"/>
          <w:i w:val="0"/>
          <w:sz w:val="20"/>
        </w:rPr>
        <w:t>0.5958</w:t>
      </w:r>
      <w:r>
        <w:rPr>
          <w:rFonts w:ascii="Times New Roman" w:hAnsi="Times New Roman"/>
          <w:b w:val="0"/>
          <w:i w:val="0"/>
          <w:sz w:val="20"/>
        </w:rPr>
        <w:t xml:space="preserve"> across deciles. The firm gap is large within matched pool sizes, not driven by pool composition.</w:t>
      </w:r>
    </w:p>
    <w:p>
      <w:pPr>
        <w:spacing w:after="120"/>
      </w:pPr>
      <w:r>
        <w:rPr>
          <w:rFonts w:ascii="Times New Roman" w:hAnsi="Times New Roman"/>
          <w:b w:val="0"/>
          <w:i w:val="0"/>
          <w:sz w:val="20"/>
        </w:rPr>
        <w:t>Cross-firm hit matrix. Among Big-4 source signatures whose any-pair rule fires under the inter-CPA candidate-pool counterfactual, the candidate firm of the max-cosine partner is distributed as follows (Script 44):</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Source firm</w:t>
            </w:r>
          </w:p>
        </w:tc>
        <w:tc>
          <w:tcPr>
            <w:tcW w:type="dxa" w:w="1234"/>
          </w:tcPr>
          <w:p>
            <w:pPr>
              <w:jc w:val="center"/>
            </w:pPr>
            <w:r/>
            <w:r>
              <w:rPr>
                <w:rFonts w:ascii="Times New Roman" w:hAnsi="Times New Roman"/>
                <w:b/>
                <w:i w:val="0"/>
                <w:sz w:val="16"/>
              </w:rPr>
              <w:t>Firm A candidate</w:t>
            </w:r>
          </w:p>
        </w:tc>
        <w:tc>
          <w:tcPr>
            <w:tcW w:type="dxa" w:w="1234"/>
          </w:tcPr>
          <w:p>
            <w:pPr>
              <w:jc w:val="center"/>
            </w:pPr>
            <w:r/>
            <w:r>
              <w:rPr>
                <w:rFonts w:ascii="Times New Roman" w:hAnsi="Times New Roman"/>
                <w:b/>
                <w:i w:val="0"/>
                <w:sz w:val="16"/>
              </w:rPr>
              <w:t>Firm B</w:t>
            </w:r>
          </w:p>
        </w:tc>
        <w:tc>
          <w:tcPr>
            <w:tcW w:type="dxa" w:w="1234"/>
          </w:tcPr>
          <w:p>
            <w:pPr>
              <w:jc w:val="center"/>
            </w:pPr>
            <w:r/>
            <w:r>
              <w:rPr>
                <w:rFonts w:ascii="Times New Roman" w:hAnsi="Times New Roman"/>
                <w:b/>
                <w:i w:val="0"/>
                <w:sz w:val="16"/>
              </w:rPr>
              <w:t>Firm C</w:t>
            </w:r>
          </w:p>
        </w:tc>
        <w:tc>
          <w:tcPr>
            <w:tcW w:type="dxa" w:w="1234"/>
          </w:tcPr>
          <w:p>
            <w:pPr>
              <w:jc w:val="center"/>
            </w:pPr>
            <w:r/>
            <w:r>
              <w:rPr>
                <w:rFonts w:ascii="Times New Roman" w:hAnsi="Times New Roman"/>
                <w:b/>
                <w:i w:val="0"/>
                <w:sz w:val="16"/>
              </w:rPr>
              <w:t>Firm D</w:t>
            </w:r>
          </w:p>
        </w:tc>
        <w:tc>
          <w:tcPr>
            <w:tcW w:type="dxa" w:w="1234"/>
          </w:tcPr>
          <w:p>
            <w:pPr>
              <w:jc w:val="center"/>
            </w:pPr>
            <w:r/>
            <w:r>
              <w:rPr>
                <w:rFonts w:ascii="Times New Roman" w:hAnsi="Times New Roman"/>
                <w:b/>
                <w:i w:val="0"/>
                <w:sz w:val="16"/>
              </w:rPr>
              <w:t>non-Big-4</w:t>
            </w:r>
          </w:p>
        </w:tc>
        <w:tc>
          <w:tcPr>
            <w:tcW w:type="dxa" w:w="1234"/>
          </w:tcPr>
          <w:p>
            <w:pPr>
              <w:jc w:val="center"/>
            </w:pPr>
            <w:r/>
            <w:r>
              <w:rPr>
                <w:rFonts w:ascii="Times New Roman" w:hAnsi="Times New Roman"/>
                <w:b/>
                <w:i w:val="0"/>
                <w:sz w:val="16"/>
              </w:rPr>
              <w:t>hits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14,447</w:t>
            </w:r>
          </w:p>
        </w:tc>
        <w:tc>
          <w:tcPr>
            <w:tcW w:type="dxa" w:w="1234"/>
          </w:tcPr>
          <w:p>
            <w:pPr>
              <w:jc w:val="center"/>
            </w:pPr>
            <w:r/>
            <w:r>
              <w:rPr>
                <w:rFonts w:ascii="Times New Roman" w:hAnsi="Times New Roman"/>
                <w:b w:val="0"/>
                <w:i w:val="0"/>
                <w:sz w:val="16"/>
              </w:rPr>
              <w:t>95</w:t>
            </w:r>
          </w:p>
        </w:tc>
        <w:tc>
          <w:tcPr>
            <w:tcW w:type="dxa" w:w="1234"/>
          </w:tcPr>
          <w:p>
            <w:pPr>
              <w:jc w:val="center"/>
            </w:pPr>
            <w:r/>
            <w:r>
              <w:rPr>
                <w:rFonts w:ascii="Times New Roman" w:hAnsi="Times New Roman"/>
                <w:b w:val="0"/>
                <w:i w:val="0"/>
                <w:sz w:val="16"/>
              </w:rPr>
              <w:t>44</w:t>
            </w:r>
          </w:p>
        </w:tc>
        <w:tc>
          <w:tcPr>
            <w:tcW w:type="dxa" w:w="1234"/>
          </w:tcPr>
          <w:p>
            <w:pPr>
              <w:jc w:val="center"/>
            </w:pPr>
            <w:r/>
            <w:r>
              <w:rPr>
                <w:rFonts w:ascii="Times New Roman" w:hAnsi="Times New Roman"/>
                <w:b w:val="0"/>
                <w:i w:val="0"/>
                <w:sz w:val="16"/>
              </w:rPr>
              <w:t>19</w:t>
            </w:r>
          </w:p>
        </w:tc>
        <w:tc>
          <w:tcPr>
            <w:tcW w:type="dxa" w:w="1234"/>
          </w:tcPr>
          <w:p>
            <w:pPr>
              <w:jc w:val="center"/>
            </w:pPr>
            <w:r/>
            <w:r>
              <w:rPr>
                <w:rFonts w:ascii="Times New Roman" w:hAnsi="Times New Roman"/>
                <w:b w:val="0"/>
                <w:i w:val="0"/>
                <w:sz w:val="16"/>
              </w:rPr>
              <w:t>17</w:t>
            </w:r>
          </w:p>
        </w:tc>
        <w:tc>
          <w:tcPr>
            <w:tcW w:type="dxa" w:w="1234"/>
          </w:tcPr>
          <w:p>
            <w:pPr>
              <w:jc w:val="center"/>
            </w:pPr>
            <w:r/>
            <w:r>
              <w:rPr>
                <w:rFonts w:ascii="Times New Roman" w:hAnsi="Times New Roman"/>
                <w:b w:val="0"/>
                <w:i w:val="0"/>
                <w:sz w:val="16"/>
              </w:rPr>
              <w:t>14,622</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92</w:t>
            </w:r>
          </w:p>
        </w:tc>
        <w:tc>
          <w:tcPr>
            <w:tcW w:type="dxa" w:w="1234"/>
          </w:tcPr>
          <w:p>
            <w:pPr>
              <w:jc w:val="center"/>
            </w:pPr>
            <w:r/>
            <w:r>
              <w:rPr>
                <w:rFonts w:ascii="Times New Roman" w:hAnsi="Times New Roman"/>
                <w:b w:val="0"/>
                <w:i w:val="0"/>
                <w:sz w:val="16"/>
              </w:rPr>
              <w:t>371</w:t>
            </w:r>
          </w:p>
        </w:tc>
        <w:tc>
          <w:tcPr>
            <w:tcW w:type="dxa" w:w="1234"/>
          </w:tcPr>
          <w:p>
            <w:pPr>
              <w:jc w:val="center"/>
            </w:pPr>
            <w:r/>
            <w:r>
              <w:rPr>
                <w:rFonts w:ascii="Times New Roman" w:hAnsi="Times New Roman"/>
                <w:b w:val="0"/>
                <w:i w:val="0"/>
                <w:sz w:val="16"/>
              </w:rPr>
              <w:t>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9</w:t>
            </w:r>
          </w:p>
        </w:tc>
        <w:tc>
          <w:tcPr>
            <w:tcW w:type="dxa" w:w="1234"/>
          </w:tcPr>
          <w:p>
            <w:pPr>
              <w:jc w:val="center"/>
            </w:pPr>
            <w:r/>
            <w:r>
              <w:rPr>
                <w:rFonts w:ascii="Times New Roman" w:hAnsi="Times New Roman"/>
                <w:b w:val="0"/>
                <w:i w:val="0"/>
                <w:sz w:val="16"/>
              </w:rPr>
              <w:t>484</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16</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149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178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106</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137</w:t>
            </w:r>
          </w:p>
        </w:tc>
      </w:tr>
    </w:tbl>
    <w:p/>
    <w:p>
      <w:pPr>
        <w:spacing w:after="120"/>
      </w:pPr>
      <w:r>
        <w:rPr>
          <w:rFonts w:ascii="Times New Roman" w:hAnsi="Times New Roman"/>
          <w:b w:val="0"/>
          <w:i w:val="0"/>
          <w:sz w:val="20"/>
        </w:rPr>
        <w:t xml:space="preserve">For the same-pair joint event (a single candidate satisfying both </w:t>
      </w:r>
      <w:r>
        <w:rPr>
          <w:rFonts w:ascii="Times New Roman" w:hAnsi="Times New Roman"/>
          <w:b w:val="0"/>
          <w:i w:val="0"/>
          <w:sz w:val="20"/>
        </w:rPr>
        <w:t>cos &gt; 0.95</w:t>
      </w:r>
      <w:r>
        <w:rPr>
          <w:rFonts w:ascii="Times New Roman" w:hAnsi="Times New Roman"/>
          <w:b w:val="0"/>
          <w:i w:val="0"/>
          <w:sz w:val="20"/>
        </w:rPr>
        <w:t xml:space="preserve"> and </w:t>
      </w:r>
      <w:r>
        <w:rPr>
          <w:rFonts w:ascii="Times New Roman" w:hAnsi="Times New Roman"/>
          <w:b w:val="0"/>
          <w:i w:val="0"/>
          <w:sz w:val="20"/>
        </w:rPr>
        <w:t>dHash ≤ 5</w:t>
      </w:r>
      <w:r>
        <w:rPr>
          <w:rFonts w:ascii="Times New Roman" w:hAnsi="Times New Roman"/>
          <w:b w:val="0"/>
          <w:i w:val="0"/>
          <w:sz w:val="20"/>
        </w:rPr>
        <w:t xml:space="preserve">), the candidate firm is even more strongly concentrated within the source firm: Firm A source </w:t>
      </w:r>
      <w:r>
        <w:rPr>
          <w:rFonts w:ascii="Times New Roman" w:hAnsi="Times New Roman"/>
          <w:b w:val="0"/>
          <w:i w:val="0"/>
          <w:sz w:val="20"/>
        </w:rPr>
        <w:t>→</w:t>
      </w:r>
      <w:r>
        <w:rPr>
          <w:rFonts w:ascii="Times New Roman" w:hAnsi="Times New Roman"/>
          <w:b w:val="0"/>
          <w:i w:val="0"/>
          <w:sz w:val="20"/>
        </w:rPr>
        <w:t xml:space="preserve"> Firm A candidate in </w:t>
      </w:r>
      <w:r>
        <w:rPr>
          <w:rFonts w:ascii="Times New Roman" w:hAnsi="Times New Roman"/>
          <w:b w:val="0"/>
          <w:i w:val="0"/>
          <w:sz w:val="20"/>
        </w:rPr>
        <w:t>11,314</w:t>
      </w:r>
      <w:r>
        <w:rPr>
          <w:rFonts w:ascii="Times New Roman" w:hAnsi="Times New Roman"/>
          <w:b w:val="0"/>
          <w:i w:val="0"/>
          <w:sz w:val="20"/>
        </w:rPr>
        <w:t xml:space="preserve"> of </w:t>
      </w:r>
      <w:r>
        <w:rPr>
          <w:rFonts w:ascii="Times New Roman" w:hAnsi="Times New Roman"/>
          <w:b w:val="0"/>
          <w:i w:val="0"/>
          <w:sz w:val="20"/>
        </w:rPr>
        <w:t>11,319</w:t>
      </w:r>
      <w:r>
        <w:rPr>
          <w:rFonts w:ascii="Times New Roman" w:hAnsi="Times New Roman"/>
          <w:b w:val="0"/>
          <w:i w:val="0"/>
          <w:sz w:val="20"/>
        </w:rPr>
        <w:t xml:space="preserve"> same-pair hits (</w:t>
      </w:r>
      <w:r>
        <w:rPr>
          <w:rFonts w:ascii="Times New Roman" w:hAnsi="Times New Roman"/>
          <w:b w:val="0"/>
          <w:i w:val="0"/>
          <w:sz w:val="20"/>
        </w:rPr>
        <w:t>99.96%</w:t>
      </w:r>
      <w:r>
        <w:rPr>
          <w:rFonts w:ascii="Times New Roman" w:hAnsi="Times New Roman"/>
          <w:b w:val="0"/>
          <w:i w:val="0"/>
          <w:sz w:val="20"/>
        </w:rPr>
        <w:t xml:space="preserve">); Firm B source </w:t>
      </w:r>
      <w:r>
        <w:rPr>
          <w:rFonts w:ascii="Times New Roman" w:hAnsi="Times New Roman"/>
          <w:b w:val="0"/>
          <w:i w:val="0"/>
          <w:sz w:val="20"/>
        </w:rPr>
        <w:t>→</w:t>
      </w:r>
      <w:r>
        <w:rPr>
          <w:rFonts w:ascii="Times New Roman" w:hAnsi="Times New Roman"/>
          <w:b w:val="0"/>
          <w:i w:val="0"/>
          <w:sz w:val="20"/>
        </w:rPr>
        <w:t xml:space="preserve"> Firm B candidate in </w:t>
      </w:r>
      <w:r>
        <w:rPr>
          <w:rFonts w:ascii="Times New Roman" w:hAnsi="Times New Roman"/>
          <w:b w:val="0"/>
          <w:i w:val="0"/>
          <w:sz w:val="20"/>
        </w:rPr>
        <w:t>85</w:t>
      </w:r>
      <w:r>
        <w:rPr>
          <w:rFonts w:ascii="Times New Roman" w:hAnsi="Times New Roman"/>
          <w:b w:val="0"/>
          <w:i w:val="0"/>
          <w:sz w:val="20"/>
        </w:rPr>
        <w:t xml:space="preserve"> of </w:t>
      </w:r>
      <w:r>
        <w:rPr>
          <w:rFonts w:ascii="Times New Roman" w:hAnsi="Times New Roman"/>
          <w:b w:val="0"/>
          <w:i w:val="0"/>
          <w:sz w:val="20"/>
        </w:rPr>
        <w:t>87</w:t>
      </w:r>
      <w:r>
        <w:rPr>
          <w:rFonts w:ascii="Times New Roman" w:hAnsi="Times New Roman"/>
          <w:b w:val="0"/>
          <w:i w:val="0"/>
          <w:sz w:val="20"/>
        </w:rPr>
        <w:t xml:space="preserve"> (</w:t>
      </w:r>
      <w:r>
        <w:rPr>
          <w:rFonts w:ascii="Times New Roman" w:hAnsi="Times New Roman"/>
          <w:b w:val="0"/>
          <w:i w:val="0"/>
          <w:sz w:val="20"/>
        </w:rPr>
        <w:t>97.7%</w:t>
      </w:r>
      <w:r>
        <w:rPr>
          <w:rFonts w:ascii="Times New Roman" w:hAnsi="Times New Roman"/>
          <w:b w:val="0"/>
          <w:i w:val="0"/>
          <w:sz w:val="20"/>
        </w:rPr>
        <w:t xml:space="preserve">); Firm C source </w:t>
      </w:r>
      <w:r>
        <w:rPr>
          <w:rFonts w:ascii="Times New Roman" w:hAnsi="Times New Roman"/>
          <w:b w:val="0"/>
          <w:i w:val="0"/>
          <w:sz w:val="20"/>
        </w:rPr>
        <w:t>→</w:t>
      </w:r>
      <w:r>
        <w:rPr>
          <w:rFonts w:ascii="Times New Roman" w:hAnsi="Times New Roman"/>
          <w:b w:val="0"/>
          <w:i w:val="0"/>
          <w:sz w:val="20"/>
        </w:rPr>
        <w:t xml:space="preserve"> Firm C candidate in </w:t>
      </w:r>
      <w:r>
        <w:rPr>
          <w:rFonts w:ascii="Times New Roman" w:hAnsi="Times New Roman"/>
          <w:b w:val="0"/>
          <w:i w:val="0"/>
          <w:sz w:val="20"/>
        </w:rPr>
        <w:t>54</w:t>
      </w:r>
      <w:r>
        <w:rPr>
          <w:rFonts w:ascii="Times New Roman" w:hAnsi="Times New Roman"/>
          <w:b w:val="0"/>
          <w:i w:val="0"/>
          <w:sz w:val="20"/>
        </w:rPr>
        <w:t xml:space="preserve"> of </w:t>
      </w:r>
      <w:r>
        <w:rPr>
          <w:rFonts w:ascii="Times New Roman" w:hAnsi="Times New Roman"/>
          <w:b w:val="0"/>
          <w:i w:val="0"/>
          <w:sz w:val="20"/>
        </w:rPr>
        <w:t>55</w:t>
      </w:r>
      <w:r>
        <w:rPr>
          <w:rFonts w:ascii="Times New Roman" w:hAnsi="Times New Roman"/>
          <w:b w:val="0"/>
          <w:i w:val="0"/>
          <w:sz w:val="20"/>
        </w:rPr>
        <w:t xml:space="preserve"> (</w:t>
      </w:r>
      <w:r>
        <w:rPr>
          <w:rFonts w:ascii="Times New Roman" w:hAnsi="Times New Roman"/>
          <w:b w:val="0"/>
          <w:i w:val="0"/>
          <w:sz w:val="20"/>
        </w:rPr>
        <w:t>98.2%</w:t>
      </w:r>
      <w:r>
        <w:rPr>
          <w:rFonts w:ascii="Times New Roman" w:hAnsi="Times New Roman"/>
          <w:b w:val="0"/>
          <w:i w:val="0"/>
          <w:sz w:val="20"/>
        </w:rPr>
        <w:t xml:space="preserve">); Firm D source </w:t>
      </w:r>
      <w:r>
        <w:rPr>
          <w:rFonts w:ascii="Times New Roman" w:hAnsi="Times New Roman"/>
          <w:b w:val="0"/>
          <w:i w:val="0"/>
          <w:sz w:val="20"/>
        </w:rPr>
        <w:t>→</w:t>
      </w:r>
      <w:r>
        <w:rPr>
          <w:rFonts w:ascii="Times New Roman" w:hAnsi="Times New Roman"/>
          <w:b w:val="0"/>
          <w:i w:val="0"/>
          <w:sz w:val="20"/>
        </w:rPr>
        <w:t xml:space="preserve"> Firm D candidate in </w:t>
      </w:r>
      <w:r>
        <w:rPr>
          <w:rFonts w:ascii="Times New Roman" w:hAnsi="Times New Roman"/>
          <w:b w:val="0"/>
          <w:i w:val="0"/>
          <w:sz w:val="20"/>
        </w:rPr>
        <w:t>64</w:t>
      </w:r>
      <w:r>
        <w:rPr>
          <w:rFonts w:ascii="Times New Roman" w:hAnsi="Times New Roman"/>
          <w:b w:val="0"/>
          <w:i w:val="0"/>
          <w:sz w:val="20"/>
        </w:rPr>
        <w:t xml:space="preserve"> of </w:t>
      </w:r>
      <w:r>
        <w:rPr>
          <w:rFonts w:ascii="Times New Roman" w:hAnsi="Times New Roman"/>
          <w:b w:val="0"/>
          <w:i w:val="0"/>
          <w:sz w:val="20"/>
        </w:rPr>
        <w:t>66</w:t>
      </w:r>
      <w:r>
        <w:rPr>
          <w:rFonts w:ascii="Times New Roman" w:hAnsi="Times New Roman"/>
          <w:b w:val="0"/>
          <w:i w:val="0"/>
          <w:sz w:val="20"/>
        </w:rPr>
        <w:t xml:space="preserve"> (</w:t>
      </w:r>
      <w:r>
        <w:rPr>
          <w:rFonts w:ascii="Times New Roman" w:hAnsi="Times New Roman"/>
          <w:b w:val="0"/>
          <w:i w:val="0"/>
          <w:sz w:val="20"/>
        </w:rPr>
        <w:t>97.0%</w:t>
      </w:r>
      <w:r>
        <w:rPr>
          <w:rFonts w:ascii="Times New Roman" w:hAnsi="Times New Roman"/>
          <w:b w:val="0"/>
          <w:i w:val="0"/>
          <w:sz w:val="20"/>
        </w:rPr>
        <w:t>).</w:t>
      </w:r>
    </w:p>
    <w:p>
      <w:pPr>
        <w:spacing w:after="120"/>
      </w:pPr>
      <w:r>
        <w:rPr>
          <w:rFonts w:ascii="Times New Roman" w:hAnsi="Times New Roman"/>
          <w:b w:val="0"/>
          <w:i w:val="0"/>
          <w:sz w:val="20"/>
        </w:rPr>
        <w:t xml:space="preserve">Interpretation. Under the deployed any-pair rule, the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 Firm A's pattern is markedly more within-firm-concentrated than the other three firms', though every Big-4 firm still has more than three quarters of its any-pair collisions falling on candidates within the same firm. The stricter same-pair joint event — a single candidate satisfying both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This pattern is consistent with — but not by itself diagnostic of — firm-specific template, stamp, or document-production reuse: within-firm scanning workflows, common form templates, and shared report-generation infrastructure could produce visually similar signature crops across different CPAs within the same firm. Byte-level decomposition of Firm A's </w:t>
      </w:r>
      <w:r>
        <w:rPr>
          <w:rFonts w:ascii="Times New Roman" w:hAnsi="Times New Roman"/>
          <w:b w:val="0"/>
          <w:i w:val="0"/>
          <w:sz w:val="20"/>
        </w:rPr>
        <w:t>145</w:t>
      </w:r>
      <w:r>
        <w:rPr>
          <w:rFonts w:ascii="Times New Roman" w:hAnsi="Times New Roman"/>
          <w:b w:val="0"/>
          <w:i w:val="0"/>
          <w:sz w:val="20"/>
        </w:rPr>
        <w:t xml:space="preserve"> pixel-identical signatures across </w:t>
      </w:r>
      <w:r>
        <w:rPr>
          <w:rFonts w:ascii="Times New Roman" w:hAnsi="Times New Roman"/>
          <w:b w:val="0"/>
          <w:i w:val="0"/>
          <w:sz w:val="20"/>
        </w:rPr>
        <w:t>~ 50</w:t>
      </w:r>
      <w:r>
        <w:rPr>
          <w:rFonts w:ascii="Times New Roman" w:hAnsi="Times New Roman"/>
          <w:b w:val="0"/>
          <w:i w:val="0"/>
          <w:sz w:val="20"/>
        </w:rPr>
        <w:t xml:space="preserve"> distinct certifying partners (supplementary materials; §III-H.2) provides direct evidence of image-level reuse among Firm A signatures; the distribution across many partners is consistent with a firm-level template or production workflow, and the broader inter-CPA collision pattern in §III-L.4 is consistent with similar, milder production-related reuse patterns at Firms B/C/D. We report this as "inter-CPA collision concentration is within-firm" — a descriptive observation about deployed-rule behaviour — and refrain from inferring that the within-firm hits constitute deliberate or systematic template sharing.</w:t>
      </w:r>
    </w:p>
    <w:p>
      <w:pPr>
        <w:spacing w:after="120"/>
      </w:pPr>
      <w:r>
        <w:rPr>
          <w:rFonts w:ascii="Times New Roman" w:hAnsi="Times New Roman"/>
          <w:b w:val="0"/>
          <w:i w:val="0"/>
          <w:sz w:val="20"/>
        </w:rPr>
        <w:t>This connects back to §III-J: the K=3 firm-composition contrast at the accountant level (Firm A dominating C3; Firm C dominating C1) reappears at the deployment level in the cross-firm hit matrix, where the within-firm collision concentration is the dominant pattern at all four Big-4 firms — most strongly at Firm A (</w:t>
      </w:r>
      <w:r>
        <w:rPr>
          <w:rFonts w:ascii="Times New Roman" w:hAnsi="Times New Roman"/>
          <w:b w:val="0"/>
          <w:i w:val="0"/>
          <w:sz w:val="20"/>
        </w:rPr>
        <w:t>98.8%</w:t>
      </w:r>
      <w:r>
        <w:rPr>
          <w:rFonts w:ascii="Times New Roman" w:hAnsi="Times New Roman"/>
          <w:b w:val="0"/>
          <w:i w:val="0"/>
          <w:sz w:val="20"/>
        </w:rPr>
        <w:t xml:space="preserve"> any-pair, </w:t>
      </w:r>
      <w:r>
        <w:rPr>
          <w:rFonts w:ascii="Times New Roman" w:hAnsi="Times New Roman"/>
          <w:b w:val="0"/>
          <w:i w:val="0"/>
          <w:sz w:val="20"/>
        </w:rPr>
        <w:t>99.96%</w:t>
      </w:r>
      <w:r>
        <w:rPr>
          <w:rFonts w:ascii="Times New Roman" w:hAnsi="Times New Roman"/>
          <w:b w:val="0"/>
          <w:i w:val="0"/>
          <w:sz w:val="20"/>
        </w:rPr>
        <w:t xml:space="preserve"> same-pair) and at materially lower but still majority levels at Firms B/C/D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any-pair;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98.2%</w:t>
      </w:r>
      <w:r>
        <w:rPr>
          <w:rFonts w:ascii="Times New Roman" w:hAnsi="Times New Roman"/>
          <w:b w:val="0"/>
          <w:i w:val="0"/>
          <w:sz w:val="20"/>
        </w:rPr>
        <w:t xml:space="preserve"> same-pair).</w:t>
      </w:r>
    </w:p>
    <w:p>
      <w:pPr>
        <w:pStyle w:val="Heading3"/>
      </w:pPr>
      <w:r>
        <w:rPr>
          <w:color w:val="000000"/>
        </w:rPr>
        <w:t>L.5. Alert-rate sensitivity around deployed thresholds (Script 46)</w:t>
      </w:r>
    </w:p>
    <w:p>
      <w:pPr>
        <w:spacing w:after="120"/>
      </w:pPr>
      <w:r>
        <w:rPr>
          <w:rFonts w:ascii="Times New Roman" w:hAnsi="Times New Roman"/>
          <w:b w:val="0"/>
          <w:i w:val="0"/>
          <w:sz w:val="20"/>
        </w:rPr>
        <w:t xml:space="preserve">To test whether the deployed cosine threshold </w:t>
      </w:r>
      <w:r>
        <w:rPr>
          <w:rFonts w:ascii="Times New Roman" w:hAnsi="Times New Roman"/>
          <w:b w:val="0"/>
          <w:i w:val="0"/>
          <w:sz w:val="20"/>
        </w:rPr>
        <w:t>0.95</w:t>
      </w:r>
      <w:r>
        <w:rPr>
          <w:rFonts w:ascii="Times New Roman" w:hAnsi="Times New Roman"/>
          <w:b w:val="0"/>
          <w:i w:val="0"/>
          <w:sz w:val="20"/>
        </w:rPr>
        <w:t xml:space="preserve"> and dHash threshold </w:t>
      </w:r>
      <w:r>
        <w:rPr>
          <w:rFonts w:ascii="Times New Roman" w:hAnsi="Times New Roman"/>
          <w:b w:val="0"/>
          <w:i w:val="0"/>
          <w:sz w:val="20"/>
        </w:rPr>
        <w:t>5</w:t>
      </w:r>
      <w:r>
        <w:rPr>
          <w:rFonts w:ascii="Times New Roman" w:hAnsi="Times New Roman"/>
          <w:b w:val="0"/>
          <w:i w:val="0"/>
          <w:sz w:val="20"/>
        </w:rPr>
        <w:t xml:space="preserve"> coincide with a low-gradient (plateau-stable) region of the deployed-rule alert-rate surface — which would be weak distributional evidence that the deployed thresholds are stable operating points — we sweep each threshold across a range and report the per-signature alert rate on actual observed Big-4 same-CPA pools (not inter-CPA-replaced pools), comparing the local gradient at the deployed threshold to the median gradient across the sweep (Script 46).</w:t>
      </w:r>
    </w:p>
    <w:p>
      <w:pPr>
        <w:spacing w:after="120"/>
      </w:pPr>
      <w:r>
        <w:rPr>
          <w:rFonts w:ascii="Times New Roman" w:hAnsi="Times New Roman"/>
          <w:b w:val="0"/>
          <w:i w:val="0"/>
          <w:sz w:val="20"/>
        </w:rPr>
        <w:t xml:space="preserve">At the deployed HC operating point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the local gradient of the per-signature alert rate is substantially larger than the median gradient across the sweep (cosine: ratio </w:t>
      </w:r>
      <w:r>
        <w:rPr>
          <w:rFonts w:ascii="Times New Roman" w:hAnsi="Times New Roman"/>
          <w:b w:val="0"/>
          <w:i w:val="0"/>
          <w:sz w:val="20"/>
        </w:rPr>
        <w:t>≈ 25×</w:t>
      </w:r>
      <w:r>
        <w:rPr>
          <w:rFonts w:ascii="Times New Roman" w:hAnsi="Times New Roman"/>
          <w:b w:val="0"/>
          <w:i w:val="0"/>
          <w:sz w:val="20"/>
        </w:rPr>
        <w:t xml:space="preserve"> at the </w:t>
      </w:r>
      <w:r>
        <w:rPr>
          <w:rFonts w:ascii="Times New Roman" w:hAnsi="Times New Roman"/>
          <w:b w:val="0"/>
          <w:i w:val="0"/>
          <w:sz w:val="20"/>
        </w:rPr>
        <w:t>0.95</w:t>
      </w:r>
      <w:r>
        <w:rPr>
          <w:rFonts w:ascii="Times New Roman" w:hAnsi="Times New Roman"/>
          <w:b w:val="0"/>
          <w:i w:val="0"/>
          <w:sz w:val="20"/>
        </w:rPr>
        <w:t xml:space="preserve"> point relative to median; dHash: ratio </w:t>
      </w:r>
      <w:r>
        <w:rPr>
          <w:rFonts w:ascii="Times New Roman" w:hAnsi="Times New Roman"/>
          <w:b w:val="0"/>
          <w:i w:val="0"/>
          <w:sz w:val="20"/>
        </w:rPr>
        <w:t>≈ 3.8×</w:t>
      </w:r>
      <w:r>
        <w:rPr>
          <w:rFonts w:ascii="Times New Roman" w:hAnsi="Times New Roman"/>
          <w:b w:val="0"/>
          <w:i w:val="0"/>
          <w:sz w:val="20"/>
        </w:rPr>
        <w:t xml:space="preserve"> at the </w:t>
      </w:r>
      <w:r>
        <w:rPr>
          <w:rFonts w:ascii="Times New Roman" w:hAnsi="Times New Roman"/>
          <w:b w:val="0"/>
          <w:i w:val="0"/>
          <w:sz w:val="20"/>
        </w:rPr>
        <w:t>5</w:t>
      </w:r>
      <w:r>
        <w:rPr>
          <w:rFonts w:ascii="Times New Roman" w:hAnsi="Times New Roman"/>
          <w:b w:val="0"/>
          <w:i w:val="0"/>
          <w:sz w:val="20"/>
        </w:rPr>
        <w:t xml:space="preserve"> point relative to median; both Script 46). Reading these ratios descriptively, the deployed HC threshold is locally sensitive rather than plateau-stable: small threshold perturbations materially change the deployed alert rate (cosine sweep at dHash </w:t>
      </w:r>
      <w:r>
        <w:rPr>
          <w:rFonts w:ascii="Times New Roman" w:hAnsi="Times New Roman"/>
          <w:b w:val="0"/>
          <w:i w:val="0"/>
          <w:sz w:val="20"/>
        </w:rPr>
        <w:t>≤ 5</w:t>
      </w:r>
      <w:r>
        <w:rPr>
          <w:rFonts w:ascii="Times New Roman" w:hAnsi="Times New Roman"/>
          <w:b w:val="0"/>
          <w:i w:val="0"/>
          <w:sz w:val="20"/>
        </w:rPr>
        <w:t xml:space="preserve"> yields rates of </w:t>
      </w:r>
      <w:r>
        <w:rPr>
          <w:rFonts w:ascii="Times New Roman" w:hAnsi="Times New Roman"/>
          <w:b w:val="0"/>
          <w:i w:val="0"/>
          <w:sz w:val="20"/>
        </w:rPr>
        <w:t>0.5091</w:t>
      </w:r>
      <w:r>
        <w:rPr>
          <w:rFonts w:ascii="Times New Roman" w:hAnsi="Times New Roman"/>
          <w:b w:val="0"/>
          <w:i w:val="0"/>
          <w:sz w:val="20"/>
        </w:rPr>
        <w:t xml:space="preserve"> at cos </w:t>
      </w:r>
      <w:r>
        <w:rPr>
          <w:rFonts w:ascii="Times New Roman" w:hAnsi="Times New Roman"/>
          <w:b w:val="0"/>
          <w:i w:val="0"/>
          <w:sz w:val="20"/>
        </w:rPr>
        <w:t>&gt; 0.945</w:t>
      </w:r>
      <w:r>
        <w:rPr>
          <w:rFonts w:ascii="Times New Roman" w:hAnsi="Times New Roman"/>
          <w:b w:val="0"/>
          <w:i w:val="0"/>
          <w:sz w:val="20"/>
        </w:rPr>
        <w:t xml:space="preserve"> vs </w:t>
      </w:r>
      <w:r>
        <w:rPr>
          <w:rFonts w:ascii="Times New Roman" w:hAnsi="Times New Roman"/>
          <w:b w:val="0"/>
          <w:i w:val="0"/>
          <w:sz w:val="20"/>
        </w:rPr>
        <w:t>0.4789</w:t>
      </w:r>
      <w:r>
        <w:rPr>
          <w:rFonts w:ascii="Times New Roman" w:hAnsi="Times New Roman"/>
          <w:b w:val="0"/>
          <w:i w:val="0"/>
          <w:sz w:val="20"/>
        </w:rPr>
        <w:t xml:space="preserve"> at cos </w:t>
      </w:r>
      <w:r>
        <w:rPr>
          <w:rFonts w:ascii="Times New Roman" w:hAnsi="Times New Roman"/>
          <w:b w:val="0"/>
          <w:i w:val="0"/>
          <w:sz w:val="20"/>
        </w:rPr>
        <w:t>&gt; 0.955</w:t>
      </w:r>
      <w:r>
        <w:rPr>
          <w:rFonts w:ascii="Times New Roman" w:hAnsi="Times New Roman"/>
          <w:b w:val="0"/>
          <w:i w:val="0"/>
          <w:sz w:val="20"/>
        </w:rPr>
        <w:t xml:space="preserve">, a </w:t>
      </w:r>
      <w:r>
        <w:rPr>
          <w:rFonts w:ascii="Times New Roman" w:hAnsi="Times New Roman"/>
          <w:b w:val="0"/>
          <w:i w:val="0"/>
          <w:sz w:val="20"/>
        </w:rPr>
        <w:t>3.0</w:t>
      </w:r>
      <w:r>
        <w:rPr>
          <w:rFonts w:ascii="Times New Roman" w:hAnsi="Times New Roman"/>
          <w:b w:val="0"/>
          <w:i w:val="0"/>
          <w:sz w:val="20"/>
        </w:rPr>
        <w:t xml:space="preserve"> pp swing across a </w:t>
      </w:r>
      <w:r>
        <w:rPr>
          <w:rFonts w:ascii="Times New Roman" w:hAnsi="Times New Roman"/>
          <w:b w:val="0"/>
          <w:i w:val="0"/>
          <w:sz w:val="20"/>
        </w:rPr>
        <w:t>0.01</w:t>
      </w:r>
      <w:r>
        <w:rPr>
          <w:rFonts w:ascii="Times New Roman" w:hAnsi="Times New Roman"/>
          <w:b w:val="0"/>
          <w:i w:val="0"/>
          <w:sz w:val="20"/>
        </w:rPr>
        <w:t xml:space="preserve"> cosine perturbation; dHash sweep at cos </w:t>
      </w:r>
      <w:r>
        <w:rPr>
          <w:rFonts w:ascii="Times New Roman" w:hAnsi="Times New Roman"/>
          <w:b w:val="0"/>
          <w:i w:val="0"/>
          <w:sz w:val="20"/>
        </w:rPr>
        <w:t>&gt; 0.95</w:t>
      </w:r>
      <w:r>
        <w:rPr>
          <w:rFonts w:ascii="Times New Roman" w:hAnsi="Times New Roman"/>
          <w:b w:val="0"/>
          <w:i w:val="0"/>
          <w:sz w:val="20"/>
        </w:rPr>
        <w:t xml:space="preserve"> yields rates of </w:t>
      </w:r>
      <w:r>
        <w:rPr>
          <w:rFonts w:ascii="Times New Roman" w:hAnsi="Times New Roman"/>
          <w:b w:val="0"/>
          <w:i w:val="0"/>
          <w:sz w:val="20"/>
        </w:rPr>
        <w:t>0.4207</w:t>
      </w:r>
      <w:r>
        <w:rPr>
          <w:rFonts w:ascii="Times New Roman" w:hAnsi="Times New Roman"/>
          <w:b w:val="0"/>
          <w:i w:val="0"/>
          <w:sz w:val="20"/>
        </w:rPr>
        <w:t xml:space="preserve"> at dHash </w:t>
      </w:r>
      <w:r>
        <w:rPr>
          <w:rFonts w:ascii="Times New Roman" w:hAnsi="Times New Roman"/>
          <w:b w:val="0"/>
          <w:i w:val="0"/>
          <w:sz w:val="20"/>
        </w:rPr>
        <w:t>≤ 4</w:t>
      </w:r>
      <w:r>
        <w:rPr>
          <w:rFonts w:ascii="Times New Roman" w:hAnsi="Times New Roman"/>
          <w:b w:val="0"/>
          <w:i w:val="0"/>
          <w:sz w:val="20"/>
        </w:rPr>
        <w:t xml:space="preserve"> vs </w:t>
      </w:r>
      <w:r>
        <w:rPr>
          <w:rFonts w:ascii="Times New Roman" w:hAnsi="Times New Roman"/>
          <w:b w:val="0"/>
          <w:i w:val="0"/>
          <w:sz w:val="20"/>
        </w:rPr>
        <w:t>0.5639</w:t>
      </w:r>
      <w:r>
        <w:rPr>
          <w:rFonts w:ascii="Times New Roman" w:hAnsi="Times New Roman"/>
          <w:b w:val="0"/>
          <w:i w:val="0"/>
          <w:sz w:val="20"/>
        </w:rPr>
        <w:t xml:space="preserve"> at dHash </w:t>
      </w:r>
      <w:r>
        <w:rPr>
          <w:rFonts w:ascii="Times New Roman" w:hAnsi="Times New Roman"/>
          <w:b w:val="0"/>
          <w:i w:val="0"/>
          <w:sz w:val="20"/>
        </w:rPr>
        <w:t>≤ 6</w:t>
      </w:r>
      <w:r>
        <w:rPr>
          <w:rFonts w:ascii="Times New Roman" w:hAnsi="Times New Roman"/>
          <w:b w:val="0"/>
          <w:i w:val="0"/>
          <w:sz w:val="20"/>
        </w:rPr>
        <w:t xml:space="preserve">, a </w:t>
      </w:r>
      <w:r>
        <w:rPr>
          <w:rFonts w:ascii="Times New Roman" w:hAnsi="Times New Roman"/>
          <w:b w:val="0"/>
          <w:i w:val="0"/>
          <w:sz w:val="20"/>
        </w:rPr>
        <w:t>14.3</w:t>
      </w:r>
      <w:r>
        <w:rPr>
          <w:rFonts w:ascii="Times New Roman" w:hAnsi="Times New Roman"/>
          <w:b w:val="0"/>
          <w:i w:val="0"/>
          <w:sz w:val="20"/>
        </w:rPr>
        <w:t xml:space="preserve"> pp swing across a single integer step). The local-gradient-to-median-gradient ratios are descriptive diagnostics, not formal plateau tests; the primary evidence for "no within-population bimodal antimode at these thresholds" comes from §III-I.4's composition decomposition, not from §III-L.5.</w:t>
      </w:r>
    </w:p>
    <w:p>
      <w:pPr>
        <w:spacing w:after="120"/>
      </w:pPr>
      <w:r>
        <w:rPr>
          <w:rFonts w:ascii="Times New Roman" w:hAnsi="Times New Roman"/>
          <w:b w:val="0"/>
          <w:i w:val="0"/>
          <w:sz w:val="20"/>
        </w:rPr>
        <w:t xml:space="preserve">The MC/HSC boundary at dHash </w:t>
      </w:r>
      <w:r>
        <w:rPr>
          <w:rFonts w:ascii="Times New Roman" w:hAnsi="Times New Roman"/>
          <w:b w:val="0"/>
          <w:i w:val="0"/>
          <w:sz w:val="20"/>
        </w:rPr>
        <w:t>= 15</w:t>
      </w:r>
      <w:r>
        <w:rPr>
          <w:rFonts w:ascii="Times New Roman" w:hAnsi="Times New Roman"/>
          <w:b w:val="0"/>
          <w:i w:val="0"/>
          <w:sz w:val="20"/>
        </w:rPr>
        <w:t xml:space="preserve">, by contrast, is in a low-gradient region (ratio </w:t>
      </w:r>
      <w:r>
        <w:rPr>
          <w:rFonts w:ascii="Times New Roman" w:hAnsi="Times New Roman"/>
          <w:b w:val="0"/>
          <w:i w:val="0"/>
          <w:sz w:val="20"/>
        </w:rPr>
        <w:t>≈ 0.08</w:t>
      </w:r>
      <w:r>
        <w:rPr>
          <w:rFonts w:ascii="Times New Roman" w:hAnsi="Times New Roman"/>
          <w:b w:val="0"/>
          <w:i w:val="0"/>
          <w:sz w:val="20"/>
        </w:rPr>
        <w:t xml:space="preserve"> to the median); the plateau-like behaviour around dHash </w:t>
      </w:r>
      <w:r>
        <w:rPr>
          <w:rFonts w:ascii="Times New Roman" w:hAnsi="Times New Roman"/>
          <w:b w:val="0"/>
          <w:i w:val="0"/>
          <w:sz w:val="20"/>
        </w:rPr>
        <w:t>= 15</w:t>
      </w:r>
      <w:r>
        <w:rPr>
          <w:rFonts w:ascii="Times New Roman" w:hAnsi="Times New Roman"/>
          <w:b w:val="0"/>
          <w:i w:val="0"/>
          <w:sz w:val="20"/>
        </w:rPr>
        <w:t xml:space="preserve"> is corroborating evidence that the high-end structural threshold lies in a regime where the rule's alert rate is approximately saturated, consistent with the high-dHash tail behaviour expected once near-identical pairs have been exhausted. The §III-L.5 non-plateau / local-sensitivity finding therefore applies specifically to the HC cutoff (cos </w:t>
      </w:r>
      <w:r>
        <w:rPr>
          <w:rFonts w:ascii="Times New Roman" w:hAnsi="Times New Roman"/>
          <w:b w:val="0"/>
          <w:i w:val="0"/>
          <w:sz w:val="20"/>
        </w:rPr>
        <w:t>= 0.95</w:t>
      </w:r>
      <w:r>
        <w:rPr>
          <w:rFonts w:ascii="Times New Roman" w:hAnsi="Times New Roman"/>
          <w:b w:val="0"/>
          <w:i w:val="0"/>
          <w:sz w:val="20"/>
        </w:rPr>
        <w:t xml:space="preserve">, dHash </w:t>
      </w:r>
      <w:r>
        <w:rPr>
          <w:rFonts w:ascii="Times New Roman" w:hAnsi="Times New Roman"/>
          <w:b w:val="0"/>
          <w:i w:val="0"/>
          <w:sz w:val="20"/>
        </w:rPr>
        <w:t>= 5</w:t>
      </w:r>
      <w:r>
        <w:rPr>
          <w:rFonts w:ascii="Times New Roman" w:hAnsi="Times New Roman"/>
          <w:b w:val="0"/>
          <w:i w:val="0"/>
          <w:sz w:val="20"/>
        </w:rPr>
        <w:t xml:space="preserve">); the MC/HSC sub-band boundary at dHash </w:t>
      </w:r>
      <w:r>
        <w:rPr>
          <w:rFonts w:ascii="Times New Roman" w:hAnsi="Times New Roman"/>
          <w:b w:val="0"/>
          <w:i w:val="0"/>
          <w:sz w:val="20"/>
        </w:rPr>
        <w:t>= 15</w:t>
      </w:r>
      <w:r>
        <w:rPr>
          <w:rFonts w:ascii="Times New Roman" w:hAnsi="Times New Roman"/>
          <w:b w:val="0"/>
          <w:i w:val="0"/>
          <w:sz w:val="20"/>
        </w:rPr>
        <w:t xml:space="preserve"> exhibits the opposite behaviour and is plateau-like.</w:t>
      </w:r>
    </w:p>
    <w:p>
      <w:pPr>
        <w:spacing w:after="120"/>
      </w:pPr>
      <w:r>
        <w:rPr>
          <w:rFonts w:ascii="Times New Roman" w:hAnsi="Times New Roman"/>
          <w:b w:val="0"/>
          <w:i w:val="0"/>
          <w:sz w:val="20"/>
        </w:rPr>
        <w:t>We interpret the deployed HC thresholds as specificity-anchored operating points chosen for the specificity-vs-alert-yield tradeoff (§III-L.1), not as distributional antimodes. Alternative operating points on the tradeoff curve can be characterised by inverting the per-comparison or pool-normalised ICCR curves (§III-L.1, §III-L.2) at the preferred specificity target.</w:t>
      </w:r>
    </w:p>
    <w:p>
      <w:pPr>
        <w:pStyle w:val="Heading3"/>
      </w:pPr>
      <w:r>
        <w:rPr>
          <w:color w:val="000000"/>
        </w:rPr>
        <w:t>L.6. Observed deployed alert rate on actual same-CPA pools</w:t>
      </w:r>
    </w:p>
    <w:p>
      <w:pPr>
        <w:spacing w:after="120"/>
      </w:pPr>
      <w:r>
        <w:rPr>
          <w:rFonts w:ascii="Times New Roman" w:hAnsi="Times New Roman"/>
          <w:b w:val="0"/>
          <w:i w:val="0"/>
          <w:sz w:val="20"/>
        </w:rPr>
        <w:t xml:space="preserve">The pool-normalised inter-CPA rates of §III-L.2 and §III-L.3 use the counterfactual of replacing the source signature's same-CPA pool with random non-same-CPA candidates. The observed deployed alert rate uses the source's actual same-CPA pool, i.e., the rate at which the deployed rule fires on the real corpus. For Big-4, the deployed HC any-pair rule fires on </w:t>
      </w:r>
      <w:r>
        <w:rPr>
          <w:rFonts w:ascii="Times New Roman" w:hAnsi="Times New Roman"/>
          <w:b w:val="0"/>
          <w:i w:val="0"/>
          <w:sz w:val="20"/>
        </w:rPr>
        <w:t>49.58%</w:t>
      </w:r>
      <w:r>
        <w:rPr>
          <w:rFonts w:ascii="Times New Roman" w:hAnsi="Times New Roman"/>
          <w:b w:val="0"/>
          <w:i w:val="0"/>
          <w:sz w:val="20"/>
        </w:rPr>
        <w:t xml:space="preserve"> of signatures and </w:t>
      </w:r>
      <w:r>
        <w:rPr>
          <w:rFonts w:ascii="Times New Roman" w:hAnsi="Times New Roman"/>
          <w:b w:val="0"/>
          <w:i w:val="0"/>
          <w:sz w:val="20"/>
        </w:rPr>
        <w:t>62.28%</w:t>
      </w:r>
      <w:r>
        <w:rPr>
          <w:rFonts w:ascii="Times New Roman" w:hAnsi="Times New Roman"/>
          <w:b w:val="0"/>
          <w:i w:val="0"/>
          <w:sz w:val="20"/>
        </w:rPr>
        <w:t xml:space="preserve"> of documents (Script 46; Script 42 reproduces the per-signature rate at </w:t>
      </w:r>
      <w:r>
        <w:rPr>
          <w:rFonts w:ascii="Times New Roman" w:hAnsi="Times New Roman"/>
          <w:b w:val="0"/>
          <w:i w:val="0"/>
          <w:sz w:val="20"/>
        </w:rPr>
        <w:t>49.58%</w:t>
      </w:r>
      <w:r>
        <w:rPr>
          <w:rFonts w:ascii="Times New Roman" w:hAnsi="Times New Roman"/>
          <w:b w:val="0"/>
          <w:i w:val="0"/>
          <w:sz w:val="20"/>
        </w:rPr>
        <w:t>).</w:t>
      </w:r>
    </w:p>
    <w:p>
      <w:pPr>
        <w:spacing w:after="120"/>
      </w:pPr>
      <w:r>
        <w:rPr>
          <w:rFonts w:ascii="Times New Roman" w:hAnsi="Times New Roman"/>
          <w:b w:val="0"/>
          <w:i w:val="0"/>
          <w:sz w:val="20"/>
        </w:rPr>
        <w:t xml:space="preserve">The per-signature observed-deployed rate is </w:t>
      </w:r>
      <w:r>
        <w:rPr>
          <w:rFonts w:ascii="Times New Roman" w:hAnsi="Times New Roman"/>
          <w:b w:val="0"/>
          <w:i w:val="0"/>
          <w:sz w:val="20"/>
        </w:rPr>
        <w:t>~ 4.5×</w:t>
      </w:r>
      <w:r>
        <w:rPr>
          <w:rFonts w:ascii="Times New Roman" w:hAnsi="Times New Roman"/>
          <w:b w:val="0"/>
          <w:i w:val="0"/>
          <w:sz w:val="20"/>
        </w:rPr>
        <w:t xml:space="preserve"> the pool-normalised inter-CPA rate (</w:t>
      </w:r>
      <w:r>
        <w:rPr>
          <w:rFonts w:ascii="Times New Roman" w:hAnsi="Times New Roman"/>
          <w:b w:val="0"/>
          <w:i w:val="0"/>
          <w:sz w:val="20"/>
        </w:rPr>
        <w:t>0.4958</w:t>
      </w:r>
      <w:r>
        <w:rPr>
          <w:rFonts w:ascii="Times New Roman" w:hAnsi="Times New Roman"/>
          <w:b w:val="0"/>
          <w:i w:val="0"/>
          <w:sz w:val="20"/>
        </w:rPr>
        <w:t xml:space="preserve"> vs </w:t>
      </w:r>
      <w:r>
        <w:rPr>
          <w:rFonts w:ascii="Times New Roman" w:hAnsi="Times New Roman"/>
          <w:b w:val="0"/>
          <w:i w:val="0"/>
          <w:sz w:val="20"/>
        </w:rPr>
        <w:t>0.1102</w:t>
      </w:r>
      <w:r>
        <w:rPr>
          <w:rFonts w:ascii="Times New Roman" w:hAnsi="Times New Roman"/>
          <w:b w:val="0"/>
          <w:i w:val="0"/>
          <w:sz w:val="20"/>
        </w:rPr>
        <w:t xml:space="preserve">); the per-document observed-deployed rate is </w:t>
      </w:r>
      <w:r>
        <w:rPr>
          <w:rFonts w:ascii="Times New Roman" w:hAnsi="Times New Roman"/>
          <w:b w:val="0"/>
          <w:i w:val="0"/>
          <w:sz w:val="20"/>
        </w:rPr>
        <w:t>~ 3.5×</w:t>
      </w:r>
      <w:r>
        <w:rPr>
          <w:rFonts w:ascii="Times New Roman" w:hAnsi="Times New Roman"/>
          <w:b w:val="0"/>
          <w:i w:val="0"/>
          <w:sz w:val="20"/>
        </w:rPr>
        <w:t xml:space="preserve"> the pool-normalised inter-CPA D1 (HC) rate (</w:t>
      </w:r>
      <w:r>
        <w:rPr>
          <w:rFonts w:ascii="Times New Roman" w:hAnsi="Times New Roman"/>
          <w:b w:val="0"/>
          <w:i w:val="0"/>
          <w:sz w:val="20"/>
        </w:rPr>
        <w:t>0.6228</w:t>
      </w:r>
      <w:r>
        <w:rPr>
          <w:rFonts w:ascii="Times New Roman" w:hAnsi="Times New Roman"/>
          <w:b w:val="0"/>
          <w:i w:val="0"/>
          <w:sz w:val="20"/>
        </w:rPr>
        <w:t xml:space="preserve"> vs </w:t>
      </w:r>
      <w:r>
        <w:rPr>
          <w:rFonts w:ascii="Times New Roman" w:hAnsi="Times New Roman"/>
          <w:b w:val="0"/>
          <w:i w:val="0"/>
          <w:sz w:val="20"/>
        </w:rPr>
        <w:t>0.1797</w:t>
      </w:r>
      <w:r>
        <w:rPr>
          <w:rFonts w:ascii="Times New Roman" w:hAnsi="Times New Roman"/>
          <w:b w:val="0"/>
          <w:i w:val="0"/>
          <w:sz w:val="20"/>
        </w:rPr>
        <w:t>). We refer to this multiplicative gap as the deployed-rate excess over the inter-CPA proxy:</w:t>
      </w:r>
    </w:p>
    <w:p>
      <w:pPr>
        <w:spacing w:after="80"/>
        <w:ind w:left="576" w:hanging="360"/>
      </w:pPr>
      <w:r>
        <w:rPr>
          <w:rFonts w:ascii="Times New Roman" w:hAnsi="Times New Roman"/>
          <w:b w:val="0"/>
          <w:i w:val="0"/>
          <w:sz w:val="20"/>
        </w:rPr>
        <w:t xml:space="preserve">•  Per-signature: </w:t>
      </w:r>
      <w:r>
        <w:rPr>
          <w:rFonts w:ascii="Times New Roman" w:hAnsi="Times New Roman"/>
          <w:b w:val="0"/>
          <w:i w:val="0"/>
          <w:sz w:val="20"/>
        </w:rPr>
        <w:t>0.4958 - 0.1102 = 0.3856</w:t>
      </w:r>
      <w:r>
        <w:rPr>
          <w:rFonts w:ascii="Times New Roman" w:hAnsi="Times New Roman"/>
          <w:b w:val="0"/>
          <w:i w:val="0"/>
          <w:sz w:val="20"/>
        </w:rPr>
        <w:t xml:space="preserve"> (</w:t>
      </w:r>
      <w:r>
        <w:rPr>
          <w:rFonts w:ascii="Times New Roman" w:hAnsi="Times New Roman"/>
          <w:b w:val="0"/>
          <w:i w:val="0"/>
          <w:sz w:val="20"/>
        </w:rPr>
        <w:t>38.6</w:t>
      </w:r>
      <w:r>
        <w:rPr>
          <w:rFonts w:ascii="Times New Roman" w:hAnsi="Times New Roman"/>
          <w:b w:val="0"/>
          <w:i w:val="0"/>
          <w:sz w:val="20"/>
        </w:rPr>
        <w:t xml:space="preserve"> pp excess)</w:t>
      </w:r>
    </w:p>
    <w:p>
      <w:pPr>
        <w:spacing w:after="80"/>
        <w:ind w:left="576" w:hanging="360"/>
      </w:pPr>
      <w:r>
        <w:rPr>
          <w:rFonts w:ascii="Times New Roman" w:hAnsi="Times New Roman"/>
          <w:b w:val="0"/>
          <w:i w:val="0"/>
          <w:sz w:val="20"/>
        </w:rPr>
        <w:t xml:space="preserve">•  Per-document HC: </w:t>
      </w:r>
      <w:r>
        <w:rPr>
          <w:rFonts w:ascii="Times New Roman" w:hAnsi="Times New Roman"/>
          <w:b w:val="0"/>
          <w:i w:val="0"/>
          <w:sz w:val="20"/>
        </w:rPr>
        <w:t>0.6228 - 0.1797 = 0.4431</w:t>
      </w:r>
      <w:r>
        <w:rPr>
          <w:rFonts w:ascii="Times New Roman" w:hAnsi="Times New Roman"/>
          <w:b w:val="0"/>
          <w:i w:val="0"/>
          <w:sz w:val="20"/>
        </w:rPr>
        <w:t xml:space="preserve"> (</w:t>
      </w:r>
      <w:r>
        <w:rPr>
          <w:rFonts w:ascii="Times New Roman" w:hAnsi="Times New Roman"/>
          <w:b w:val="0"/>
          <w:i w:val="0"/>
          <w:sz w:val="20"/>
        </w:rPr>
        <w:t>44.3</w:t>
      </w:r>
      <w:r>
        <w:rPr>
          <w:rFonts w:ascii="Times New Roman" w:hAnsi="Times New Roman"/>
          <w:b w:val="0"/>
          <w:i w:val="0"/>
          <w:sz w:val="20"/>
        </w:rPr>
        <w:t xml:space="preserve"> pp excess)</w:t>
      </w:r>
    </w:p>
    <w:p>
      <w:pPr>
        <w:spacing w:after="120"/>
      </w:pPr>
      <w:r>
        <w:rPr>
          <w:rFonts w:ascii="Times New Roman" w:hAnsi="Times New Roman"/>
          <w:b w:val="0"/>
          <w:i w:val="0"/>
          <w:sz w:val="20"/>
        </w:rPr>
        <w:t>We do not interpret the deployed-rate excess as a presumed true-positive rate; the inferential limits of this interpretation are developed in §III-M. The deployed-rate excess is best read as a same-CPA repeatability signal — a quantity that exceeds what random inter-CPA candidate replacement would produce — rather than as an estimate of true replication prevalence.</w:t>
      </w:r>
    </w:p>
    <w:p>
      <w:pPr>
        <w:pStyle w:val="Heading2"/>
      </w:pPr>
      <w:r>
        <w:rPr>
          <w:color w:val="000000"/>
        </w:rPr>
        <w:t>M. Unsupervised Diagnostic Strategy and Limits</w:t>
      </w:r>
    </w:p>
    <w:p>
      <w:pPr>
        <w:spacing w:after="120"/>
      </w:pPr>
      <w:r>
        <w:rPr>
          <w:rFonts w:ascii="Times New Roman" w:hAnsi="Times New Roman"/>
          <w:b w:val="0"/>
          <w:i w:val="0"/>
          <w:sz w:val="20"/>
        </w:rPr>
        <w:t xml:space="preserve">The corpus lacks signature-level ground-truth replication labels: no signature is annotated as definitively hand-signed or definitively templated. The conservative positive anchor (pixel-identical same-CPA signatures; §III-K.4) is by construction near </w:t>
      </w:r>
      <w:r>
        <w:rPr>
          <w:rFonts w:ascii="Times New Roman" w:hAnsi="Times New Roman"/>
          <w:b w:val="0"/>
          <w:i w:val="0"/>
          <w:sz w:val="20"/>
        </w:rPr>
        <w:t>cos = 1</w:t>
      </w:r>
      <w:r>
        <w:rPr>
          <w:rFonts w:ascii="Times New Roman" w:hAnsi="Times New Roman"/>
          <w:b w:val="0"/>
          <w:i w:val="0"/>
          <w:sz w:val="20"/>
        </w:rPr>
        <w:t xml:space="preserve"> and </w:t>
      </w:r>
      <w:r>
        <w:rPr>
          <w:rFonts w:ascii="Times New Roman" w:hAnsi="Times New Roman"/>
          <w:b w:val="0"/>
          <w:i w:val="0"/>
          <w:sz w:val="20"/>
        </w:rPr>
        <w:t>dHash = 0</w:t>
      </w:r>
      <w:r>
        <w:rPr>
          <w:rFonts w:ascii="Times New Roman" w:hAnsi="Times New Roman"/>
          <w:b w:val="0"/>
          <w:i w:val="0"/>
          <w:sz w:val="20"/>
        </w:rPr>
        <w:t>, providing a tautological capture-check rather than a sensitivity estimate for the non-byte-identical replicated class. The corpus therefore does not admit standard supervised classifier validation: we cannot report False Rejection Rate, sensitivity, recall, Equal Error Rate, ROC-AUC, or precision against ground truth.</w:t>
      </w:r>
    </w:p>
    <w:p>
      <w:pPr>
        <w:spacing w:after="120"/>
      </w:pPr>
      <w:r>
        <w:rPr>
          <w:rFonts w:ascii="Times New Roman" w:hAnsi="Times New Roman"/>
          <w:b w:val="0"/>
          <w:i w:val="0"/>
          <w:sz w:val="20"/>
        </w:rPr>
        <w:t>Each diagnostic reported in this paper therefore addresses one specific failure mode of an unsupervised screening classifier; the full diagnostic-to-failure-mode-to-assumption map is given in Appendix A Table A.II. No single diagnostic provides ground-truth validation; together they define the limits of what can be supported in this corpus without signature-level ground truth.</w:t>
      </w:r>
    </w:p>
    <w:p>
      <w:pPr>
        <w:spacing w:after="120"/>
      </w:pPr>
      <w:r>
        <w:rPr>
          <w:rFonts w:ascii="Times New Roman" w:hAnsi="Times New Roman"/>
          <w:b w:val="0"/>
          <w:i w:val="0"/>
          <w:sz w:val="20"/>
        </w:rPr>
        <w:t>Limits of the present analysis. We do not claim a validated forensic detector or an autonomous classification system. We do not report False Rejection Rate, sensitivity, recall, EER, ROC-AUC, precision, or positive predictive value against ground truth, because no ground truth exists at the signature level. We do not interpret the deployed-rate excess of §III-L.6 as a presumed true-positive rate: that interpretation would require assuming that the within-firm same-CPA pool's collision rate equals the inter-CPA proxy rate in the absence of replication (i.e., that genuine same-CPA hand-signing would produce a collision rate no higher than random inter-CPA pairs). Two factors make the assumption unsafe: (a) a CPA who signs consistently can produce stylistically similar signatures across years that exceed inter-CPA similarity at the cosine axis; (b) within-firm template sharing (§III-L.4 cross-firm hit matrix; byte-level evidence of Firm A's pixel-identical signatures across partners, supplementary materials) places a substantial inter-CPA collision floor that itself reflects template-like reuse rather than independent inter-CPA random matching. We do not infer that the within-firm collision concentration of §III-L.4 constitutes deliberate template sharing; we describe it as "inter-CPA collision concentration is within-firm" and treat the mechanism as an open empirical question.</w:t>
      </w:r>
    </w:p>
    <w:p>
      <w:pPr>
        <w:spacing w:after="120"/>
      </w:pPr>
      <w:r>
        <w:rPr>
          <w:rFonts w:ascii="Times New Roman" w:hAnsi="Times New Roman"/>
          <w:b w:val="0"/>
          <w:i w:val="0"/>
          <w:sz w:val="20"/>
        </w:rPr>
        <w:t>Scope of the present analysis. The deployed signature-replication screening rule is characterised at three units of analysis (per-comparison, per-signature pool, per-document) against an inter-CPA negative-anchor coincidence-rate calibration. The per-comparison rates (</w:t>
      </w:r>
      <w:r>
        <w:rPr>
          <w:rFonts w:ascii="Times New Roman" w:hAnsi="Times New Roman"/>
          <w:b w:val="0"/>
          <w:i w:val="0"/>
          <w:sz w:val="20"/>
        </w:rPr>
        <w:t>≤ 0.0006</w:t>
      </w:r>
      <w:r>
        <w:rPr>
          <w:rFonts w:ascii="Times New Roman" w:hAnsi="Times New Roman"/>
          <w:b w:val="0"/>
          <w:i w:val="0"/>
          <w:sz w:val="20"/>
        </w:rPr>
        <w:t xml:space="preserve"> at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 0.0013</w:t>
      </w:r>
      <w:r>
        <w:rPr>
          <w:rFonts w:ascii="Times New Roman" w:hAnsi="Times New Roman"/>
          <w:b w:val="0"/>
          <w:i w:val="0"/>
          <w:sz w:val="20"/>
        </w:rPr>
        <w:t xml:space="preserve"> at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 0.00014</w:t>
      </w:r>
      <w:r>
        <w:rPr>
          <w:rFonts w:ascii="Times New Roman" w:hAnsi="Times New Roman"/>
          <w:b w:val="0"/>
          <w:i w:val="0"/>
          <w:sz w:val="20"/>
        </w:rPr>
        <w:t xml:space="preserve"> jointly) are specificity-proxy-anchored operating points consistent with biometric-verification convention, with the proxy nature recorded in §III-L.0 and §III-M. The per-signature any-pair HC ICCR (</w:t>
      </w:r>
      <w:r>
        <w:rPr>
          <w:rFonts w:ascii="Times New Roman" w:hAnsi="Times New Roman"/>
          <w:b w:val="0"/>
          <w:i w:val="0"/>
          <w:sz w:val="20"/>
        </w:rPr>
        <w:t>0.11</w:t>
      </w:r>
      <w:r>
        <w:rPr>
          <w:rFonts w:ascii="Times New Roman" w:hAnsi="Times New Roman"/>
          <w:b w:val="0"/>
          <w:i w:val="0"/>
          <w:sz w:val="20"/>
        </w:rPr>
        <w:t>; Table XXII) and per-document HC+MC alarm-rate ICCR (</w:t>
      </w:r>
      <w:r>
        <w:rPr>
          <w:rFonts w:ascii="Times New Roman" w:hAnsi="Times New Roman"/>
          <w:b w:val="0"/>
          <w:i w:val="0"/>
          <w:sz w:val="20"/>
        </w:rPr>
        <w:t>0.34</w:t>
      </w:r>
      <w:r>
        <w:rPr>
          <w:rFonts w:ascii="Times New Roman" w:hAnsi="Times New Roman"/>
          <w:b w:val="0"/>
          <w:i w:val="0"/>
          <w:sz w:val="20"/>
        </w:rPr>
        <w:t xml:space="preserve">; Table XXIII) are operationally meaningful alarm-yield indicators rather than true error rates. Per-firm rates show substantial heterogeneity (Firm A's per-document HC + MC alarm at </w:t>
      </w:r>
      <w:r>
        <w:rPr>
          <w:rFonts w:ascii="Times New Roman" w:hAnsi="Times New Roman"/>
          <w:b w:val="0"/>
          <w:i w:val="0"/>
          <w:sz w:val="20"/>
        </w:rPr>
        <w:t>0.62</w:t>
      </w:r>
      <w:r>
        <w:rPr>
          <w:rFonts w:ascii="Times New Roman" w:hAnsi="Times New Roman"/>
          <w:b w:val="0"/>
          <w:i w:val="0"/>
          <w:sz w:val="20"/>
        </w:rPr>
        <w:t xml:space="preserve"> vs Firm B/C/D at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driven by firm-level rather than pool-size effects, and concentrated in within-firm cross-CPA candidate matching. The framework is positioned as a specificity-proxy-anchored screening tool with human-in-the-loop review, not as a validated forensic classifier.</w:t>
      </w:r>
    </w:p>
    <w:p>
      <w:pPr>
        <w:spacing w:after="120"/>
      </w:pPr>
      <w:r>
        <w:rPr>
          <w:rFonts w:ascii="Times New Roman" w:hAnsi="Times New Roman"/>
          <w:b w:val="0"/>
          <w:i w:val="0"/>
          <w:sz w:val="20"/>
        </w:rPr>
        <w:t xml:space="preserve">Specificity-alert-yield tradeoff. Because sensitivity is unobservable, stakeholders cannot derive an operating point by optimising a ROC criterion. Instead, the specificity-proxy-anchored framework offers a specificity-alert-yield tradeoff: tighter operating points (e.g., cos </w:t>
      </w:r>
      <w:r>
        <w:rPr>
          <w:rFonts w:ascii="Times New Roman" w:hAnsi="Times New Roman"/>
          <w:b w:val="0"/>
          <w:i w:val="0"/>
          <w:sz w:val="20"/>
        </w:rPr>
        <w:t>&gt; 0.98</w:t>
      </w:r>
      <w:r>
        <w:rPr>
          <w:rFonts w:ascii="Times New Roman" w:hAnsi="Times New Roman"/>
          <w:b w:val="0"/>
          <w:i w:val="0"/>
          <w:sz w:val="20"/>
        </w:rPr>
        <w:t xml:space="preserve"> AND dHash </w:t>
      </w:r>
      <w:r>
        <w:rPr>
          <w:rFonts w:ascii="Times New Roman" w:hAnsi="Times New Roman"/>
          <w:b w:val="0"/>
          <w:i w:val="0"/>
          <w:sz w:val="20"/>
        </w:rPr>
        <w:t>≤ 3</w:t>
      </w:r>
      <w:r>
        <w:rPr>
          <w:rFonts w:ascii="Times New Roman" w:hAnsi="Times New Roman"/>
          <w:b w:val="0"/>
          <w:i w:val="0"/>
          <w:sz w:val="20"/>
        </w:rPr>
        <w:t xml:space="preserve">) reduce both per-comparison ICCR (to </w:t>
      </w:r>
      <w:r>
        <w:rPr>
          <w:rFonts w:ascii="Times New Roman" w:hAnsi="Times New Roman"/>
          <w:b w:val="0"/>
          <w:i w:val="0"/>
          <w:sz w:val="20"/>
        </w:rPr>
        <w:t>≈ 5 × 10</w:t>
      </w:r>
      <w:r>
        <w:rPr>
          <w:rFonts w:ascii="Times New Roman" w:hAnsi="Times New Roman"/>
          <w:b w:val="0"/>
          <w:i w:val="0"/>
          <w:sz w:val="20"/>
          <w:vertAlign w:val="superscript"/>
        </w:rPr>
        <w:t>-5</w:t>
      </w:r>
      <w:r>
        <w:rPr>
          <w:rFonts w:ascii="Times New Roman" w:hAnsi="Times New Roman"/>
          <w:b w:val="0"/>
          <w:i w:val="0"/>
          <w:sz w:val="20"/>
        </w:rPr>
        <w:t xml:space="preserve">; §III-L.1 inversion) and per-signature alert yield (to </w:t>
      </w:r>
      <w:r>
        <w:rPr>
          <w:rFonts w:ascii="Times New Roman" w:hAnsi="Times New Roman"/>
          <w:b w:val="0"/>
          <w:i w:val="0"/>
          <w:sz w:val="20"/>
        </w:rPr>
        <w:t>≈ 0.05</w:t>
      </w:r>
      <w:r>
        <w:rPr>
          <w:rFonts w:ascii="Times New Roman" w:hAnsi="Times New Roman"/>
          <w:b w:val="0"/>
          <w:i w:val="0"/>
          <w:sz w:val="20"/>
        </w:rPr>
        <w:t>; §III-L.2), with an unknown effect on actual replication-detection recall. Tighter operating points are not necessarily preferable: any tightening reduces the alert rate but may also miss true replicated signatures whose noise has pushed them outside the tighter envelope. The deployment decision depends on the relative cost of manual review (per alarm) and missed-replication risk (per false negative) — neither directly observable from corpus data.</w:t>
      </w:r>
    </w:p>
    <w:p>
      <w:pPr>
        <w:pStyle w:val="Heading2"/>
      </w:pPr>
      <w:r>
        <w:rPr>
          <w:color w:val="000000"/>
        </w:rPr>
        <w:t>N. Data Source and Firm Anonymization</w:t>
      </w:r>
    </w:p>
    <w:p>
      <w:pPr>
        <w:spacing w:after="120"/>
      </w:pPr>
      <w:r>
        <w:rPr>
          <w:rFonts w:ascii="Times New Roman" w:hAnsi="Times New Roman"/>
          <w:b w:val="0"/>
          <w:i w:val="0"/>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b w:val="0"/>
          <w:i w:val="0"/>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spacing w:after="120"/>
      </w:pPr>
      <w:r>
        <w:rPr>
          <w:rFonts w:ascii="Times New Roman" w:hAnsi="Times New Roman"/>
          <w:b w:val="0"/>
          <w:i w:val="0"/>
          <w:sz w:val="20"/>
        </w:rPr>
        <w:t xml:space="preserve">Section IV reports the empirical results that calibrate and characterise the operational classifier of §III-H.1 (calibration developed in §III-L). The primary analyses (§IV-D through §IV-J, and the anchor-based ICCR calibration consolidated in §IV-M) are scoped to the Big-4 sub-corpus (Firms A–D, </w:t>
      </w:r>
      <w:r>
        <w:rPr>
          <w:rFonts w:ascii="Times New Roman" w:hAnsi="Times New Roman"/>
          <w:b w:val="0"/>
          <w:i w:val="0"/>
          <w:sz w:val="20"/>
        </w:rPr>
        <w:t>n = 437</w:t>
      </w:r>
      <w:r>
        <w:rPr>
          <w:rFonts w:ascii="Times New Roman" w:hAnsi="Times New Roman"/>
          <w:b w:val="0"/>
          <w:i w:val="0"/>
          <w:sz w:val="20"/>
        </w:rPr>
        <w:t xml:space="preserve"> CPAs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totalling 150,442 signatures with both descriptors available) per the methodology choice articulated in §III-G. §IV-K reports a full-dataset (686 CPAs) robustness check on the K=3 mixture and per-CPA score-rank convergence; §IV-A through §IV-C and §IV-L report the corpus-wide pipeline performance and feature-backbone ablation that support the descriptor choice of §III-F.</w:t>
      </w:r>
    </w:p>
    <w:p>
      <w:pPr>
        <w:pStyle w:val="Heading2"/>
      </w:pPr>
      <w:r>
        <w:rPr>
          <w:color w:val="000000"/>
        </w:rPr>
        <w:t>A. Experimental Setup</w:t>
      </w:r>
    </w:p>
    <w:p>
      <w:pPr>
        <w:spacing w:after="120"/>
      </w:pPr>
      <w:r>
        <w:rPr>
          <w:rFonts w:ascii="Times New Roman" w:hAnsi="Times New Roman"/>
          <w:b w:val="0"/>
          <w:i w:val="0"/>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b w:val="0"/>
          <w:i w:val="0"/>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a practical consistency check: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spacing w:after="120"/>
      </w:pPr>
      <w:r>
        <w:rPr>
          <w:rFonts w:ascii="Times New Roman" w:hAnsi="Times New Roman"/>
          <w:b w:val="0"/>
          <w:i w:val="0"/>
          <w:sz w:val="20"/>
        </w:rPr>
        <w:t>Table III. Extraction Results.</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Documents processed</w:t>
            </w:r>
          </w:p>
        </w:tc>
        <w:tc>
          <w:tcPr>
            <w:tcW w:type="dxa" w:w="4320"/>
          </w:tcPr>
          <w:p>
            <w:pPr>
              <w:jc w:val="center"/>
            </w:pPr>
            <w:r/>
            <w:r>
              <w:rPr>
                <w:rFonts w:ascii="Times New Roman" w:hAnsi="Times New Roman"/>
                <w:b w:val="0"/>
                <w:i w:val="0"/>
                <w:sz w:val="16"/>
              </w:rPr>
              <w:t>86,071</w:t>
            </w:r>
          </w:p>
        </w:tc>
      </w:tr>
      <w:tr>
        <w:tc>
          <w:tcPr>
            <w:tcW w:type="dxa" w:w="4320"/>
          </w:tcPr>
          <w:p>
            <w:pPr>
              <w:jc w:val="center"/>
            </w:pPr>
            <w:r/>
            <w:r>
              <w:rPr>
                <w:rFonts w:ascii="Times New Roman" w:hAnsi="Times New Roman"/>
                <w:b w:val="0"/>
                <w:i w:val="0"/>
                <w:sz w:val="16"/>
              </w:rPr>
              <w:t>Documents with detections</w:t>
            </w:r>
          </w:p>
        </w:tc>
        <w:tc>
          <w:tcPr>
            <w:tcW w:type="dxa" w:w="4320"/>
          </w:tcPr>
          <w:p>
            <w:pPr>
              <w:jc w:val="center"/>
            </w:pPr>
            <w:r/>
            <w:r>
              <w:rPr>
                <w:rFonts w:ascii="Times New Roman" w:hAnsi="Times New Roman"/>
                <w:b w:val="0"/>
                <w:i w:val="0"/>
                <w:sz w:val="16"/>
              </w:rPr>
              <w:t>85,042 (98.8%)</w:t>
            </w:r>
          </w:p>
        </w:tc>
      </w:tr>
      <w:tr>
        <w:tc>
          <w:tcPr>
            <w:tcW w:type="dxa" w:w="4320"/>
          </w:tcPr>
          <w:p>
            <w:pPr>
              <w:jc w:val="center"/>
            </w:pPr>
            <w:r/>
            <w:r>
              <w:rPr>
                <w:rFonts w:ascii="Times New Roman" w:hAnsi="Times New Roman"/>
                <w:b w:val="0"/>
                <w:i w:val="0"/>
                <w:sz w:val="16"/>
              </w:rPr>
              <w:t>Total signatures extracted</w:t>
            </w:r>
          </w:p>
        </w:tc>
        <w:tc>
          <w:tcPr>
            <w:tcW w:type="dxa" w:w="4320"/>
          </w:tcPr>
          <w:p>
            <w:pPr>
              <w:jc w:val="center"/>
            </w:pPr>
            <w:r/>
            <w:r>
              <w:rPr>
                <w:rFonts w:ascii="Times New Roman" w:hAnsi="Times New Roman"/>
                <w:b w:val="0"/>
                <w:i w:val="0"/>
                <w:sz w:val="16"/>
              </w:rPr>
              <w:t>182,328</w:t>
            </w:r>
          </w:p>
        </w:tc>
      </w:tr>
      <w:tr>
        <w:tc>
          <w:tcPr>
            <w:tcW w:type="dxa" w:w="4320"/>
          </w:tcPr>
          <w:p>
            <w:pPr>
              <w:jc w:val="center"/>
            </w:pPr>
            <w:r/>
            <w:r>
              <w:rPr>
                <w:rFonts w:ascii="Times New Roman" w:hAnsi="Times New Roman"/>
                <w:b w:val="0"/>
                <w:i w:val="0"/>
                <w:sz w:val="16"/>
              </w:rPr>
              <w:t>Avg. signatures per document</w:t>
            </w:r>
          </w:p>
        </w:tc>
        <w:tc>
          <w:tcPr>
            <w:tcW w:type="dxa" w:w="4320"/>
          </w:tcPr>
          <w:p>
            <w:pPr>
              <w:jc w:val="center"/>
            </w:pPr>
            <w:r/>
            <w:r>
              <w:rPr>
                <w:rFonts w:ascii="Times New Roman" w:hAnsi="Times New Roman"/>
                <w:b w:val="0"/>
                <w:i w:val="0"/>
                <w:sz w:val="16"/>
              </w:rPr>
              <w:t>2.14</w:t>
            </w:r>
          </w:p>
        </w:tc>
      </w:tr>
      <w:tr>
        <w:tc>
          <w:tcPr>
            <w:tcW w:type="dxa" w:w="4320"/>
          </w:tcPr>
          <w:p>
            <w:pPr>
              <w:jc w:val="center"/>
            </w:pPr>
            <w:r/>
            <w:r>
              <w:rPr>
                <w:rFonts w:ascii="Times New Roman" w:hAnsi="Times New Roman"/>
                <w:b w:val="0"/>
                <w:i w:val="0"/>
                <w:sz w:val="16"/>
              </w:rPr>
              <w:t>CPA-matched signatures</w:t>
            </w:r>
          </w:p>
        </w:tc>
        <w:tc>
          <w:tcPr>
            <w:tcW w:type="dxa" w:w="4320"/>
          </w:tcPr>
          <w:p>
            <w:pPr>
              <w:jc w:val="center"/>
            </w:pPr>
            <w:r/>
            <w:r>
              <w:rPr>
                <w:rFonts w:ascii="Times New Roman" w:hAnsi="Times New Roman"/>
                <w:b w:val="0"/>
                <w:i w:val="0"/>
                <w:sz w:val="16"/>
              </w:rPr>
              <w:t>168,755 (92.6%)</w:t>
            </w:r>
          </w:p>
        </w:tc>
      </w:tr>
      <w:tr>
        <w:tc>
          <w:tcPr>
            <w:tcW w:type="dxa" w:w="4320"/>
          </w:tcPr>
          <w:p>
            <w:pPr>
              <w:jc w:val="center"/>
            </w:pPr>
            <w:r/>
            <w:r>
              <w:rPr>
                <w:rFonts w:ascii="Times New Roman" w:hAnsi="Times New Roman"/>
                <w:b w:val="0"/>
                <w:i w:val="0"/>
                <w:sz w:val="16"/>
              </w:rPr>
              <w:t>Processing rate</w:t>
            </w:r>
          </w:p>
        </w:tc>
        <w:tc>
          <w:tcPr>
            <w:tcW w:type="dxa" w:w="4320"/>
          </w:tcPr>
          <w:p>
            <w:pPr>
              <w:jc w:val="center"/>
            </w:pPr>
            <w:r/>
            <w:r>
              <w:rPr>
                <w:rFonts w:ascii="Times New Roman" w:hAnsi="Times New Roman"/>
                <w:b w:val="0"/>
                <w:i w:val="0"/>
                <w:sz w:val="16"/>
              </w:rPr>
              <w:t>43.1 docs/sec</w:t>
            </w:r>
          </w:p>
        </w:tc>
      </w:tr>
    </w:tbl>
    <w:p/>
    <w:p>
      <w:pPr>
        <w:spacing w:after="120"/>
      </w:pPr>
      <w:r>
        <w:rPr>
          <w:rFonts w:ascii="Times New Roman" w:hAnsi="Times New Roman"/>
          <w:b w:val="0"/>
          <w:i w:val="0"/>
          <w:sz w:val="20"/>
        </w:rPr>
        <w:t>The Big-4 subset of the detection output yields 150,442 signatures with both descriptors (cosine and independent dHash) successfully computed; this is the per-signature population used in the primary analyses of §IV-D through §IV-J.</w:t>
      </w:r>
    </w:p>
    <w:p>
      <w:pPr>
        <w:pStyle w:val="Heading2"/>
      </w:pPr>
      <w:r>
        <w:rPr>
          <w:color w:val="000000"/>
        </w:rPr>
        <w:t>C. All-Pairs Intra-vs-Inter Class Distribution Analysis</w:t>
      </w:r>
    </w:p>
    <w:p>
      <w:pPr>
        <w:spacing w:after="120"/>
      </w:pPr>
      <w:r>
        <w:rPr>
          <w:rFonts w:ascii="Times New Roman" w:hAnsi="Times New Roman"/>
          <w:b w:val="0"/>
          <w:i w:val="0"/>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per-signature classification (Section III-H.1). Table IV summarizes the distributional statistics.</w:t>
      </w:r>
    </w:p>
    <w:p>
      <w:pPr>
        <w:spacing w:after="120"/>
      </w:pPr>
      <w:r>
        <w:rPr>
          <w:rFonts w:ascii="Times New Roman" w:hAnsi="Times New Roman"/>
          <w:b w:val="0"/>
          <w:i w:val="0"/>
          <w:sz w:val="20"/>
        </w:rPr>
        <w:t>Table IV. Cosine Similarity Distribution Statistics.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Statistic</w:t>
            </w:r>
          </w:p>
        </w:tc>
        <w:tc>
          <w:tcPr>
            <w:tcW w:type="dxa" w:w="2880"/>
          </w:tcPr>
          <w:p>
            <w:pPr>
              <w:jc w:val="center"/>
            </w:pPr>
            <w:r/>
            <w:r>
              <w:rPr>
                <w:rFonts w:ascii="Times New Roman" w:hAnsi="Times New Roman"/>
                <w:b/>
                <w:i w:val="0"/>
                <w:sz w:val="16"/>
              </w:rPr>
              <w:t>Intra-class</w:t>
            </w:r>
          </w:p>
        </w:tc>
        <w:tc>
          <w:tcPr>
            <w:tcW w:type="dxa" w:w="2880"/>
          </w:tcPr>
          <w:p>
            <w:pPr>
              <w:jc w:val="center"/>
            </w:pPr>
            <w:r/>
            <w:r>
              <w:rPr>
                <w:rFonts w:ascii="Times New Roman" w:hAnsi="Times New Roman"/>
                <w:b/>
                <w:i w:val="0"/>
                <w:sz w:val="16"/>
              </w:rPr>
              <w:t>Inter-class</w:t>
            </w:r>
          </w:p>
        </w:tc>
      </w:tr>
      <w:tr>
        <w:tc>
          <w:tcPr>
            <w:tcW w:type="dxa" w:w="2880"/>
          </w:tcPr>
          <w:p>
            <w:pPr>
              <w:jc w:val="center"/>
            </w:pPr>
            <w:r/>
            <w:r>
              <w:rPr>
                <w:rFonts w:ascii="Times New Roman" w:hAnsi="Times New Roman"/>
                <w:b w:val="0"/>
                <w:i w:val="0"/>
                <w:sz w:val="16"/>
              </w:rPr>
              <w:t>N (pairs)</w:t>
            </w:r>
          </w:p>
        </w:tc>
        <w:tc>
          <w:tcPr>
            <w:tcW w:type="dxa" w:w="2880"/>
          </w:tcPr>
          <w:p>
            <w:pPr>
              <w:jc w:val="center"/>
            </w:pPr>
            <w:r/>
            <w:r>
              <w:rPr>
                <w:rFonts w:ascii="Times New Roman" w:hAnsi="Times New Roman"/>
                <w:b w:val="0"/>
                <w:i w:val="0"/>
                <w:sz w:val="16"/>
              </w:rPr>
              <w:t>41,352,824</w:t>
            </w:r>
          </w:p>
        </w:tc>
        <w:tc>
          <w:tcPr>
            <w:tcW w:type="dxa" w:w="2880"/>
          </w:tcPr>
          <w:p>
            <w:pPr>
              <w:jc w:val="center"/>
            </w:pPr>
            <w:r/>
            <w:r>
              <w:rPr>
                <w:rFonts w:ascii="Times New Roman" w:hAnsi="Times New Roman"/>
                <w:b w:val="0"/>
                <w:i w:val="0"/>
                <w:sz w:val="16"/>
              </w:rPr>
              <w:t>500,000</w:t>
            </w:r>
          </w:p>
        </w:tc>
      </w:tr>
      <w:tr>
        <w:tc>
          <w:tcPr>
            <w:tcW w:type="dxa" w:w="2880"/>
          </w:tcPr>
          <w:p>
            <w:pPr>
              <w:jc w:val="center"/>
            </w:pPr>
            <w:r/>
            <w:r>
              <w:rPr>
                <w:rFonts w:ascii="Times New Roman" w:hAnsi="Times New Roman"/>
                <w:b w:val="0"/>
                <w:i w:val="0"/>
                <w:sz w:val="16"/>
              </w:rPr>
              <w:t>Mean</w:t>
            </w:r>
          </w:p>
        </w:tc>
        <w:tc>
          <w:tcPr>
            <w:tcW w:type="dxa" w:w="2880"/>
          </w:tcPr>
          <w:p>
            <w:pPr>
              <w:jc w:val="center"/>
            </w:pPr>
            <w:r/>
            <w:r>
              <w:rPr>
                <w:rFonts w:ascii="Times New Roman" w:hAnsi="Times New Roman"/>
                <w:b w:val="0"/>
                <w:i w:val="0"/>
                <w:sz w:val="16"/>
              </w:rPr>
              <w:t>0.821</w:t>
            </w:r>
          </w:p>
        </w:tc>
        <w:tc>
          <w:tcPr>
            <w:tcW w:type="dxa" w:w="2880"/>
          </w:tcPr>
          <w:p>
            <w:pPr>
              <w:jc w:val="center"/>
            </w:pPr>
            <w:r/>
            <w:r>
              <w:rPr>
                <w:rFonts w:ascii="Times New Roman" w:hAnsi="Times New Roman"/>
                <w:b w:val="0"/>
                <w:i w:val="0"/>
                <w:sz w:val="16"/>
              </w:rPr>
              <w:t>0.758</w:t>
            </w:r>
          </w:p>
        </w:tc>
      </w:tr>
      <w:tr>
        <w:tc>
          <w:tcPr>
            <w:tcW w:type="dxa" w:w="2880"/>
          </w:tcPr>
          <w:p>
            <w:pPr>
              <w:jc w:val="center"/>
            </w:pPr>
            <w:r/>
            <w:r>
              <w:rPr>
                <w:rFonts w:ascii="Times New Roman" w:hAnsi="Times New Roman"/>
                <w:b w:val="0"/>
                <w:i w:val="0"/>
                <w:sz w:val="16"/>
              </w:rPr>
              <w:t>Std. Dev.</w:t>
            </w:r>
          </w:p>
        </w:tc>
        <w:tc>
          <w:tcPr>
            <w:tcW w:type="dxa" w:w="2880"/>
          </w:tcPr>
          <w:p>
            <w:pPr>
              <w:jc w:val="center"/>
            </w:pPr>
            <w:r/>
            <w:r>
              <w:rPr>
                <w:rFonts w:ascii="Times New Roman" w:hAnsi="Times New Roman"/>
                <w:b w:val="0"/>
                <w:i w:val="0"/>
                <w:sz w:val="16"/>
              </w:rPr>
              <w:t>0.098</w:t>
            </w:r>
          </w:p>
        </w:tc>
        <w:tc>
          <w:tcPr>
            <w:tcW w:type="dxa" w:w="2880"/>
          </w:tcPr>
          <w:p>
            <w:pPr>
              <w:jc w:val="center"/>
            </w:pPr>
            <w:r/>
            <w:r>
              <w:rPr>
                <w:rFonts w:ascii="Times New Roman" w:hAnsi="Times New Roman"/>
                <w:b w:val="0"/>
                <w:i w:val="0"/>
                <w:sz w:val="16"/>
              </w:rPr>
              <w:t>0.090</w:t>
            </w:r>
          </w:p>
        </w:tc>
      </w:tr>
      <w:tr>
        <w:tc>
          <w:tcPr>
            <w:tcW w:type="dxa" w:w="2880"/>
          </w:tcPr>
          <w:p>
            <w:pPr>
              <w:jc w:val="center"/>
            </w:pPr>
            <w:r/>
            <w:r>
              <w:rPr>
                <w:rFonts w:ascii="Times New Roman" w:hAnsi="Times New Roman"/>
                <w:b w:val="0"/>
                <w:i w:val="0"/>
                <w:sz w:val="16"/>
              </w:rPr>
              <w:t>Median</w:t>
            </w:r>
          </w:p>
        </w:tc>
        <w:tc>
          <w:tcPr>
            <w:tcW w:type="dxa" w:w="2880"/>
          </w:tcPr>
          <w:p>
            <w:pPr>
              <w:jc w:val="center"/>
            </w:pPr>
            <w:r/>
            <w:r>
              <w:rPr>
                <w:rFonts w:ascii="Times New Roman" w:hAnsi="Times New Roman"/>
                <w:b w:val="0"/>
                <w:i w:val="0"/>
                <w:sz w:val="16"/>
              </w:rPr>
              <w:t>0.836</w:t>
            </w:r>
          </w:p>
        </w:tc>
        <w:tc>
          <w:tcPr>
            <w:tcW w:type="dxa" w:w="2880"/>
          </w:tcPr>
          <w:p>
            <w:pPr>
              <w:jc w:val="center"/>
            </w:pPr>
            <w:r/>
            <w:r>
              <w:rPr>
                <w:rFonts w:ascii="Times New Roman" w:hAnsi="Times New Roman"/>
                <w:b w:val="0"/>
                <w:i w:val="0"/>
                <w:sz w:val="16"/>
              </w:rPr>
              <w:t>0.774</w:t>
            </w:r>
          </w:p>
        </w:tc>
      </w:tr>
      <w:tr>
        <w:tc>
          <w:tcPr>
            <w:tcW w:type="dxa" w:w="2880"/>
          </w:tcPr>
          <w:p>
            <w:pPr>
              <w:jc w:val="center"/>
            </w:pPr>
            <w:r/>
            <w:r>
              <w:rPr>
                <w:rFonts w:ascii="Times New Roman" w:hAnsi="Times New Roman"/>
                <w:b w:val="0"/>
                <w:i w:val="0"/>
                <w:sz w:val="16"/>
              </w:rPr>
              <w:t>Skewness</w:t>
            </w:r>
          </w:p>
        </w:tc>
        <w:tc>
          <w:tcPr>
            <w:tcW w:type="dxa" w:w="2880"/>
          </w:tcPr>
          <w:p>
            <w:pPr>
              <w:jc w:val="center"/>
            </w:pPr>
            <w:r/>
            <w:r>
              <w:rPr>
                <w:rFonts w:ascii="Times New Roman" w:hAnsi="Times New Roman"/>
                <w:b w:val="0"/>
                <w:i w:val="0"/>
                <w:sz w:val="16"/>
              </w:rPr>
              <w:t>−0.711</w:t>
            </w:r>
          </w:p>
        </w:tc>
        <w:tc>
          <w:tcPr>
            <w:tcW w:type="dxa" w:w="2880"/>
          </w:tcPr>
          <w:p>
            <w:pPr>
              <w:jc w:val="center"/>
            </w:pPr>
            <w:r/>
            <w:r>
              <w:rPr>
                <w:rFonts w:ascii="Times New Roman" w:hAnsi="Times New Roman"/>
                <w:b w:val="0"/>
                <w:i w:val="0"/>
                <w:sz w:val="16"/>
              </w:rPr>
              <w:t>−0.851</w:t>
            </w:r>
          </w:p>
        </w:tc>
      </w:tr>
      <w:tr>
        <w:tc>
          <w:tcPr>
            <w:tcW w:type="dxa" w:w="2880"/>
          </w:tcPr>
          <w:p>
            <w:pPr>
              <w:jc w:val="center"/>
            </w:pPr>
            <w:r/>
            <w:r>
              <w:rPr>
                <w:rFonts w:ascii="Times New Roman" w:hAnsi="Times New Roman"/>
                <w:b w:val="0"/>
                <w:i w:val="0"/>
                <w:sz w:val="16"/>
              </w:rPr>
              <w:t>Kurtosis</w:t>
            </w:r>
          </w:p>
        </w:tc>
        <w:tc>
          <w:tcPr>
            <w:tcW w:type="dxa" w:w="2880"/>
          </w:tcPr>
          <w:p>
            <w:pPr>
              <w:jc w:val="center"/>
            </w:pPr>
            <w:r/>
            <w:r>
              <w:rPr>
                <w:rFonts w:ascii="Times New Roman" w:hAnsi="Times New Roman"/>
                <w:b w:val="0"/>
                <w:i w:val="0"/>
                <w:sz w:val="16"/>
              </w:rPr>
              <w:t>0.550</w:t>
            </w:r>
          </w:p>
        </w:tc>
        <w:tc>
          <w:tcPr>
            <w:tcW w:type="dxa" w:w="2880"/>
          </w:tcPr>
          <w:p>
            <w:pPr>
              <w:jc w:val="center"/>
            </w:pPr>
            <w:r/>
            <w:r>
              <w:rPr>
                <w:rFonts w:ascii="Times New Roman" w:hAnsi="Times New Roman"/>
                <w:b w:val="0"/>
                <w:i w:val="0"/>
                <w:sz w:val="16"/>
              </w:rPr>
              <w:t>1.027</w:t>
            </w:r>
          </w:p>
        </w:tc>
      </w:tr>
    </w:tbl>
    <w:p/>
    <w:p>
      <w:pPr>
        <w:spacing w:after="120"/>
      </w:pPr>
      <w:r>
        <w:rPr>
          <w:rFonts w:ascii="Times New Roman" w:hAnsi="Times New Roman"/>
          <w:b w:val="0"/>
          <w:i w:val="0"/>
          <w:sz w:val="20"/>
        </w:rPr>
        <w:t>Both distributions are left-skewed and leptokurtic. Shapiro-Wilk and Kolmogorov-Smirnov tests rejected normality for both (</w:t>
      </w:r>
      <w:r>
        <w:rPr>
          <w:rFonts w:ascii="Times New Roman" w:hAnsi="Times New Roman"/>
          <w:b w:val="0"/>
          <w:i w:val="0"/>
          <w:sz w:val="20"/>
        </w:rPr>
        <w:t>p &lt; 0.001</w:t>
      </w:r>
      <w:r>
        <w:rPr>
          <w:rFonts w:ascii="Times New Roman" w:hAnsi="Times New Roman"/>
          <w:b w:val="0"/>
          <w:i w:val="0"/>
          <w:sz w:val="20"/>
        </w:rPr>
        <w:t>), confirming that parametric thresholds based on normality assumptions would be inappropriate. Distribution fitting identified the lognormal distribution as the best parametric fit (lowest AIC) for both classes, though we use this result only descriptively; the subsequent distributional diagnostics in Section IV-D are produced via the methods of Section III-I to avoid single-family distributional assumptions.</w:t>
      </w:r>
    </w:p>
    <w:p>
      <w:pPr>
        <w:spacing w:after="120"/>
      </w:pPr>
      <w:r>
        <w:rPr>
          <w:rFonts w:ascii="Times New Roman" w:hAnsi="Times New Roman"/>
          <w:b w:val="0"/>
          <w:i w:val="0"/>
          <w:sz w:val="20"/>
        </w:rPr>
        <w:t xml:space="preserve">The KDE crossover—where the two density functions intersect—was located at 0.837. Under equal prior probabilities and equal misclassification costs, this crossover is a candidate decision boundary between the two classes; we adopt it only as the operational LH/UN boundary in §III-H.1, not as a natural distributional threshold. Statistical tests confirmed significant separation between the two distributions (Cohen's </w:t>
      </w:r>
      <w:r>
        <w:rPr>
          <w:rFonts w:ascii="Times New Roman" w:hAnsi="Times New Roman"/>
          <w:b w:val="0"/>
          <w:i w:val="0"/>
          <w:sz w:val="20"/>
        </w:rPr>
        <w:t>d = 0.669</w:t>
      </w:r>
      <w:r>
        <w:rPr>
          <w:rFonts w:ascii="Times New Roman" w:hAnsi="Times New Roman"/>
          <w:b w:val="0"/>
          <w:i w:val="0"/>
          <w:sz w:val="20"/>
        </w:rPr>
        <w:t xml:space="preserve">, Mann-Whitney [36] </w:t>
      </w:r>
      <w:r>
        <w:rPr>
          <w:rFonts w:ascii="Times New Roman" w:hAnsi="Times New Roman"/>
          <w:b w:val="0"/>
          <w:i w:val="0"/>
          <w:sz w:val="20"/>
        </w:rPr>
        <w:t>p &lt; 0.001</w:t>
      </w:r>
      <w:r>
        <w:rPr>
          <w:rFonts w:ascii="Times New Roman" w:hAnsi="Times New Roman"/>
          <w:b w:val="0"/>
          <w:i w:val="0"/>
          <w:sz w:val="20"/>
        </w:rPr>
        <w:t xml:space="preserve">, K-S 2-sample </w:t>
      </w:r>
      <w:r>
        <w:rPr>
          <w:rFonts w:ascii="Times New Roman" w:hAnsi="Times New Roman"/>
          <w:b w:val="0"/>
          <w:i w:val="0"/>
          <w:sz w:val="20"/>
        </w:rPr>
        <w:t>p &lt; 0.001</w:t>
      </w:r>
      <w:r>
        <w:rPr>
          <w:rFonts w:ascii="Times New Roman" w:hAnsi="Times New Roman"/>
          <w:b w:val="0"/>
          <w:i w:val="0"/>
          <w:sz w:val="20"/>
        </w:rPr>
        <w:t>).</w:t>
      </w:r>
    </w:p>
    <w:p>
      <w:pPr>
        <w:spacing w:after="120"/>
      </w:pPr>
      <w:r>
        <w:rPr>
          <w:rFonts w:ascii="Times New Roman" w:hAnsi="Times New Roman"/>
          <w:b w:val="0"/>
          <w:i w:val="0"/>
          <w:sz w:val="20"/>
        </w:rPr>
        <w:t xml:space="preserve">We emphasize that pairwise observations are not independent—the same signature participates in multiple pairs—which inflates the effective sample size and renders </w:t>
      </w:r>
      <w:r>
        <w:rPr>
          <w:rFonts w:ascii="Times New Roman" w:hAnsi="Times New Roman"/>
          <w:b w:val="0"/>
          <w:i w:val="0"/>
          <w:sz w:val="20"/>
        </w:rPr>
        <w:t>p</w:t>
      </w:r>
      <w:r>
        <w:rPr>
          <w:rFonts w:ascii="Times New Roman" w:hAnsi="Times New Roman"/>
          <w:b w:val="0"/>
          <w:i w:val="0"/>
          <w:sz w:val="20"/>
        </w:rPr>
        <w:t xml:space="preserve">-values unreliable as measures of evidence strength. We therefore rely primarily on Cohen's </w:t>
      </w:r>
      <w:r>
        <w:rPr>
          <w:rFonts w:ascii="Times New Roman" w:hAnsi="Times New Roman"/>
          <w:b w:val="0"/>
          <w:i w:val="0"/>
          <w:sz w:val="20"/>
        </w:rPr>
        <w:t>d</w:t>
      </w:r>
      <w:r>
        <w:rPr>
          <w:rFonts w:ascii="Times New Roman" w:hAnsi="Times New Roman"/>
          <w:b w:val="0"/>
          <w:i w:val="0"/>
          <w:sz w:val="20"/>
        </w:rPr>
        <w:t xml:space="preserve"> as an effect-size measure that is less sensitive to sample size. A Cohen's </w:t>
      </w:r>
      <w:r>
        <w:rPr>
          <w:rFonts w:ascii="Times New Roman" w:hAnsi="Times New Roman"/>
          <w:b w:val="0"/>
          <w:i w:val="0"/>
          <w:sz w:val="20"/>
        </w:rPr>
        <w:t>d</w:t>
      </w:r>
      <w:r>
        <w:rPr>
          <w:rFonts w:ascii="Times New Roman" w:hAnsi="Times New Roman"/>
          <w:b w:val="0"/>
          <w:i w:val="0"/>
          <w:sz w:val="20"/>
        </w:rPr>
        <w:t xml:space="preserve"> of 0.669 indicates a medium effect size [29], confirming that the distributional difference is practically meaningful, not merely an artifact of the large sample count.</w:t>
      </w:r>
    </w:p>
    <w:p>
      <w:pPr>
        <w:pStyle w:val="Heading2"/>
      </w:pPr>
      <w:r>
        <w:rPr>
          <w:color w:val="000000"/>
        </w:rPr>
        <w:t>D. Big-4 Accountant-Level Distributional Characterisation</w:t>
      </w:r>
    </w:p>
    <w:p>
      <w:pPr>
        <w:spacing w:after="120"/>
      </w:pPr>
      <w:r>
        <w:rPr>
          <w:rFonts w:ascii="Times New Roman" w:hAnsi="Times New Roman"/>
          <w:b w:val="0"/>
          <w:i w:val="0"/>
          <w:sz w:val="20"/>
        </w:rPr>
        <w:t>This section reports the empirical evidence for §III-I's distributional diagnostics at the Big-4 accountant level. The accountant-level dip-test rejection reported in Table V is, per §III-I.4, fully attributable to between-firm location shifts and integer mass-point artefacts rather than to within-population bimodality; the composition-decomposition diagnostics that establish this finding are tabulated in §IV-M below alongside the anchor-based ICCR calibration.</w:t>
      </w:r>
    </w:p>
    <w:p>
      <w:pPr>
        <w:spacing w:after="120"/>
      </w:pPr>
      <w:r>
        <w:rPr>
          <w:rFonts w:ascii="Times New Roman" w:hAnsi="Times New Roman"/>
          <w:b w:val="0"/>
          <w:i w:val="0"/>
          <w:sz w:val="20"/>
        </w:rPr>
        <w:t>Table V. Hartigan dip-test results, accountant-level marginals (Big-4 primary; comparison scopes from Script 32).</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Population</w:t>
            </w:r>
          </w:p>
        </w:tc>
        <w:tc>
          <w:tcPr>
            <w:tcW w:type="dxa" w:w="1728"/>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1728"/>
          </w:tcPr>
          <w:p>
            <w:pPr>
              <w:jc w:val="center"/>
            </w:pPr>
            <w:r/>
            <w:r>
              <w:rPr>
                <w:rFonts w:ascii="Times New Roman" w:hAnsi="Times New Roman"/>
                <w:b/>
                <w:i w:val="0"/>
                <w:sz w:val="16"/>
              </w:rPr>
              <w:t>p</w:t>
            </w:r>
            <w:r>
              <w:rPr>
                <w:rFonts w:ascii="Times New Roman" w:hAnsi="Times New Roman"/>
                <w:b/>
                <w:i w:val="0"/>
                <w:sz w:val="16"/>
                <w:vertAlign w:val="subscript"/>
              </w:rPr>
              <w:t>cos</w:t>
            </w:r>
          </w:p>
        </w:tc>
        <w:tc>
          <w:tcPr>
            <w:tcW w:type="dxa" w:w="1728"/>
          </w:tcPr>
          <w:p>
            <w:pPr>
              <w:jc w:val="center"/>
            </w:pPr>
            <w:r/>
            <w:r>
              <w:rPr>
                <w:rFonts w:ascii="Times New Roman" w:hAnsi="Times New Roman"/>
                <w:b/>
                <w:i w:val="0"/>
                <w:sz w:val="16"/>
              </w:rPr>
              <w:t>p</w:t>
            </w:r>
            <w:r>
              <w:rPr>
                <w:rFonts w:ascii="Times New Roman" w:hAnsi="Times New Roman"/>
                <w:b/>
                <w:i w:val="0"/>
                <w:sz w:val="16"/>
                <w:vertAlign w:val="subscript"/>
              </w:rPr>
              <w:t>dHash</w:t>
            </w:r>
          </w:p>
        </w:tc>
        <w:tc>
          <w:tcPr>
            <w:tcW w:type="dxa" w:w="1728"/>
          </w:tcPr>
          <w:p>
            <w:pPr>
              <w:jc w:val="center"/>
            </w:pPr>
            <w:r/>
            <w:r>
              <w:rPr>
                <w:rFonts w:ascii="Times New Roman" w:hAnsi="Times New Roman"/>
                <w:b/>
                <w:i w:val="0"/>
                <w:sz w:val="16"/>
              </w:rPr>
              <w:t>Interpretation</w:t>
            </w:r>
          </w:p>
        </w:tc>
      </w:tr>
      <w:tr>
        <w:tc>
          <w:tcPr>
            <w:tcW w:type="dxa" w:w="1728"/>
          </w:tcPr>
          <w:p>
            <w:pPr>
              <w:jc w:val="center"/>
            </w:pPr>
            <w:r/>
            <w:r>
              <w:rPr>
                <w:rFonts w:ascii="Times New Roman" w:hAnsi="Times New Roman"/>
                <w:b w:val="0"/>
                <w:i w:val="0"/>
                <w:sz w:val="16"/>
              </w:rPr>
              <w:t>Big-4 pooled (primary)</w:t>
            </w:r>
          </w:p>
        </w:tc>
        <w:tc>
          <w:tcPr>
            <w:tcW w:type="dxa" w:w="1728"/>
          </w:tcPr>
          <w:p>
            <w:pPr>
              <w:jc w:val="center"/>
            </w:pPr>
            <w:r/>
            <w:r>
              <w:rPr>
                <w:rFonts w:ascii="Times New Roman" w:hAnsi="Times New Roman"/>
                <w:b w:val="0"/>
                <w:i w:val="0"/>
                <w:sz w:val="16"/>
              </w:rPr>
              <w:t>437</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reject unimodality on both axes</w:t>
            </w:r>
          </w:p>
        </w:tc>
      </w:tr>
      <w:tr>
        <w:tc>
          <w:tcPr>
            <w:tcW w:type="dxa" w:w="1728"/>
          </w:tcPr>
          <w:p>
            <w:pPr>
              <w:jc w:val="center"/>
            </w:pPr>
            <w:r/>
            <w:r>
              <w:rPr>
                <w:rFonts w:ascii="Times New Roman" w:hAnsi="Times New Roman"/>
                <w:b w:val="0"/>
                <w:i w:val="0"/>
                <w:sz w:val="16"/>
              </w:rPr>
              <w:t>Firm A pooled alone</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0.992</w:t>
            </w:r>
          </w:p>
        </w:tc>
        <w:tc>
          <w:tcPr>
            <w:tcW w:type="dxa" w:w="1728"/>
          </w:tcPr>
          <w:p>
            <w:pPr>
              <w:jc w:val="center"/>
            </w:pPr>
            <w:r/>
            <w:r>
              <w:rPr>
                <w:rFonts w:ascii="Times New Roman" w:hAnsi="Times New Roman"/>
                <w:b w:val="0"/>
                <w:i w:val="0"/>
                <w:sz w:val="16"/>
              </w:rPr>
              <w:t>0.924</w:t>
            </w:r>
          </w:p>
        </w:tc>
        <w:tc>
          <w:tcPr>
            <w:tcW w:type="dxa" w:w="1728"/>
          </w:tcPr>
          <w:p>
            <w:pPr>
              <w:jc w:val="center"/>
            </w:pPr>
            <w:r/>
            <w:r>
              <w:rPr>
                <w:rFonts w:ascii="Times New Roman" w:hAnsi="Times New Roman"/>
                <w:b w:val="0"/>
                <w:i w:val="0"/>
                <w:sz w:val="16"/>
              </w:rPr>
              <w:t>unimodal</w:t>
            </w:r>
          </w:p>
        </w:tc>
      </w:tr>
      <w:tr>
        <w:tc>
          <w:tcPr>
            <w:tcW w:type="dxa" w:w="1728"/>
          </w:tcPr>
          <w:p>
            <w:pPr>
              <w:jc w:val="center"/>
            </w:pPr>
            <w:r/>
            <w:r>
              <w:rPr>
                <w:rFonts w:ascii="Times New Roman" w:hAnsi="Times New Roman"/>
                <w:b w:val="0"/>
                <w:i w:val="0"/>
                <w:sz w:val="16"/>
              </w:rPr>
              <w:t>Firms B + C + D pooled</w:t>
            </w:r>
          </w:p>
        </w:tc>
        <w:tc>
          <w:tcPr>
            <w:tcW w:type="dxa" w:w="1728"/>
          </w:tcPr>
          <w:p>
            <w:pPr>
              <w:jc w:val="center"/>
            </w:pPr>
            <w:r/>
            <w:r>
              <w:rPr>
                <w:rFonts w:ascii="Times New Roman" w:hAnsi="Times New Roman"/>
                <w:b w:val="0"/>
                <w:i w:val="0"/>
                <w:sz w:val="16"/>
              </w:rPr>
              <w:t>266</w:t>
            </w:r>
          </w:p>
        </w:tc>
        <w:tc>
          <w:tcPr>
            <w:tcW w:type="dxa" w:w="1728"/>
          </w:tcPr>
          <w:p>
            <w:pPr>
              <w:jc w:val="center"/>
            </w:pPr>
            <w:r/>
            <w:r>
              <w:rPr>
                <w:rFonts w:ascii="Times New Roman" w:hAnsi="Times New Roman"/>
                <w:b w:val="0"/>
                <w:i w:val="0"/>
                <w:sz w:val="16"/>
              </w:rPr>
              <w:t>0.998</w:t>
            </w:r>
          </w:p>
        </w:tc>
        <w:tc>
          <w:tcPr>
            <w:tcW w:type="dxa" w:w="1728"/>
          </w:tcPr>
          <w:p>
            <w:pPr>
              <w:jc w:val="center"/>
            </w:pPr>
            <w:r/>
            <w:r>
              <w:rPr>
                <w:rFonts w:ascii="Times New Roman" w:hAnsi="Times New Roman"/>
                <w:b w:val="0"/>
                <w:i w:val="0"/>
                <w:sz w:val="16"/>
              </w:rPr>
              <w:t>0.906</w:t>
            </w:r>
          </w:p>
        </w:tc>
        <w:tc>
          <w:tcPr>
            <w:tcW w:type="dxa" w:w="1728"/>
          </w:tcPr>
          <w:p>
            <w:pPr>
              <w:jc w:val="center"/>
            </w:pPr>
            <w:r/>
            <w:r>
              <w:rPr>
                <w:rFonts w:ascii="Times New Roman" w:hAnsi="Times New Roman"/>
                <w:b w:val="0"/>
                <w:i w:val="0"/>
                <w:sz w:val="16"/>
              </w:rPr>
              <w:t>unimodal</w:t>
            </w:r>
          </w:p>
        </w:tc>
      </w:tr>
      <w:tr>
        <w:tc>
          <w:tcPr>
            <w:tcW w:type="dxa" w:w="1728"/>
          </w:tcPr>
          <w:p>
            <w:pPr>
              <w:jc w:val="center"/>
            </w:pPr>
            <w:r/>
            <w:r>
              <w:rPr>
                <w:rFonts w:ascii="Times New Roman" w:hAnsi="Times New Roman"/>
                <w:b w:val="0"/>
                <w:i w:val="0"/>
                <w:sz w:val="16"/>
              </w:rPr>
              <w:t>All non-Firm-A pooled</w:t>
            </w:r>
          </w:p>
        </w:tc>
        <w:tc>
          <w:tcPr>
            <w:tcW w:type="dxa" w:w="1728"/>
          </w:tcPr>
          <w:p>
            <w:pPr>
              <w:jc w:val="center"/>
            </w:pPr>
            <w:r/>
            <w:r>
              <w:rPr>
                <w:rFonts w:ascii="Times New Roman" w:hAnsi="Times New Roman"/>
                <w:b w:val="0"/>
                <w:i w:val="0"/>
                <w:sz w:val="16"/>
              </w:rPr>
              <w:t>515</w:t>
            </w:r>
          </w:p>
        </w:tc>
        <w:tc>
          <w:tcPr>
            <w:tcW w:type="dxa" w:w="1728"/>
          </w:tcPr>
          <w:p>
            <w:pPr>
              <w:jc w:val="center"/>
            </w:pPr>
            <w:r/>
            <w:r>
              <w:rPr>
                <w:rFonts w:ascii="Times New Roman" w:hAnsi="Times New Roman"/>
                <w:b w:val="0"/>
                <w:i w:val="0"/>
                <w:sz w:val="16"/>
              </w:rPr>
              <w:t>0.998</w:t>
            </w:r>
          </w:p>
        </w:tc>
        <w:tc>
          <w:tcPr>
            <w:tcW w:type="dxa" w:w="1728"/>
          </w:tcPr>
          <w:p>
            <w:pPr>
              <w:jc w:val="center"/>
            </w:pPr>
            <w:r/>
            <w:r>
              <w:rPr>
                <w:rFonts w:ascii="Times New Roman" w:hAnsi="Times New Roman"/>
                <w:b w:val="0"/>
                <w:i w:val="0"/>
                <w:sz w:val="16"/>
              </w:rPr>
              <w:t>0.907</w:t>
            </w:r>
          </w:p>
        </w:tc>
        <w:tc>
          <w:tcPr>
            <w:tcW w:type="dxa" w:w="1728"/>
          </w:tcPr>
          <w:p>
            <w:pPr>
              <w:jc w:val="center"/>
            </w:pPr>
            <w:r/>
            <w:r>
              <w:rPr>
                <w:rFonts w:ascii="Times New Roman" w:hAnsi="Times New Roman"/>
                <w:b w:val="0"/>
                <w:i w:val="0"/>
                <w:sz w:val="16"/>
              </w:rPr>
              <w:t>unimodal</w:t>
            </w:r>
          </w:p>
        </w:tc>
      </w:tr>
    </w:tbl>
    <w:p/>
    <w:p>
      <w:pPr>
        <w:spacing w:after="120"/>
      </w:pPr>
      <w:r>
        <w:rPr>
          <w:rFonts w:ascii="Times New Roman" w:hAnsi="Times New Roman"/>
          <w:b w:val="0"/>
          <w:i w:val="0"/>
          <w:sz w:val="20"/>
        </w:rPr>
        <w:t xml:space="preserve">Bootstrap implementation: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for the Big-4 cells, no bootstrap replicate exceeded the observed dip statistic, so the empirical </w:t>
      </w:r>
      <w:r>
        <w:rPr>
          <w:rFonts w:ascii="Times New Roman" w:hAnsi="Times New Roman"/>
          <w:b w:val="0"/>
          <w:i w:val="0"/>
          <w:sz w:val="20"/>
        </w:rPr>
        <w:t>p</w:t>
      </w:r>
      <w:r>
        <w:rPr>
          <w:rFonts w:ascii="Times New Roman" w:hAnsi="Times New Roman"/>
          <w:b w:val="0"/>
          <w:i w:val="0"/>
          <w:sz w:val="20"/>
        </w:rPr>
        <w:t xml:space="preserve">-value is bounded above by the bootstrap resolution </w:t>
      </w:r>
      <w:r>
        <w:rPr>
          <w:rFonts w:ascii="Times New Roman" w:hAnsi="Times New Roman"/>
          <w:b w:val="0"/>
          <w:i w:val="0"/>
          <w:sz w:val="20"/>
        </w:rPr>
        <w:t>1 / 2000 = 5 × 10</w:t>
      </w:r>
      <w:r>
        <w:rPr>
          <w:rFonts w:ascii="Times New Roman" w:hAnsi="Times New Roman"/>
          <w:b w:val="0"/>
          <w:i w:val="0"/>
          <w:sz w:val="20"/>
          <w:vertAlign w:val="superscript"/>
        </w:rPr>
        <w:t>-4</w:t>
      </w:r>
      <w:r>
        <w:rPr>
          <w:rFonts w:ascii="Times New Roman" w:hAnsi="Times New Roman"/>
          <w:b w:val="0"/>
          <w:i w:val="0"/>
          <w:sz w:val="20"/>
        </w:rPr>
        <w:t xml:space="preserve"> (Script 34 reports this as </w:t>
      </w:r>
      <w:r>
        <w:rPr>
          <w:rFonts w:ascii="Times New Roman" w:hAnsi="Times New Roman"/>
          <w:b w:val="0"/>
          <w:i w:val="0"/>
          <w:sz w:val="20"/>
        </w:rPr>
        <w:t>p = 0.0000</w:t>
      </w:r>
      <w:r>
        <w:rPr>
          <w:rFonts w:ascii="Times New Roman" w:hAnsi="Times New Roman"/>
          <w:b w:val="0"/>
          <w:i w:val="0"/>
          <w:sz w:val="20"/>
        </w:rPr>
        <w:t xml:space="preserve">; we report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to reflect the resolution). Single-firm dip statistics for Firms B, C, and D were not separately computed.</w:t>
      </w:r>
    </w:p>
    <w:p>
      <w:pPr>
        <w:spacing w:after="120"/>
      </w:pPr>
      <w:r>
        <w:rPr>
          <w:rFonts w:ascii="Times New Roman" w:hAnsi="Times New Roman"/>
          <w:b w:val="0"/>
          <w:i w:val="0"/>
          <w:sz w:val="20"/>
        </w:rPr>
        <w:t xml:space="preserve">Table VI. Burgstahler-Dichev / McCrary density-smoothness diagnostic on accountant-level marginals (cosine in 0.002 bins; dHash in integer bins; </w:t>
      </w:r>
      <w:r>
        <w:rPr>
          <w:rFonts w:ascii="Times New Roman" w:hAnsi="Times New Roman"/>
          <w:b w:val="0"/>
          <w:i w:val="0"/>
          <w:sz w:val="20"/>
        </w:rPr>
        <w:t>α = 0.05</w:t>
      </w:r>
      <w:r>
        <w:rPr>
          <w:rFonts w:ascii="Times New Roman" w:hAnsi="Times New Roman"/>
          <w:b w:val="0"/>
          <w:i w:val="0"/>
          <w:sz w:val="20"/>
        </w:rPr>
        <w:t>, two-sided).</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Population</w:t>
            </w:r>
          </w:p>
        </w:tc>
        <w:tc>
          <w:tcPr>
            <w:tcW w:type="dxa" w:w="2880"/>
          </w:tcPr>
          <w:p>
            <w:pPr>
              <w:jc w:val="center"/>
            </w:pPr>
            <w:r/>
            <w:r>
              <w:rPr>
                <w:rFonts w:ascii="Times New Roman" w:hAnsi="Times New Roman"/>
                <w:b/>
                <w:i w:val="0"/>
                <w:sz w:val="16"/>
              </w:rPr>
              <w:t>Cosine: significant transition?</w:t>
            </w:r>
          </w:p>
        </w:tc>
        <w:tc>
          <w:tcPr>
            <w:tcW w:type="dxa" w:w="2880"/>
          </w:tcPr>
          <w:p>
            <w:pPr>
              <w:jc w:val="center"/>
            </w:pPr>
            <w:r/>
            <w:r>
              <w:rPr>
                <w:rFonts w:ascii="Times New Roman" w:hAnsi="Times New Roman"/>
                <w:b/>
                <w:i w:val="0"/>
                <w:sz w:val="16"/>
              </w:rPr>
              <w:t>dHash: significant transition?</w:t>
            </w:r>
          </w:p>
        </w:tc>
      </w:tr>
      <w:tr>
        <w:tc>
          <w:tcPr>
            <w:tcW w:type="dxa" w:w="2880"/>
          </w:tcPr>
          <w:p>
            <w:pPr>
              <w:jc w:val="center"/>
            </w:pPr>
            <w:r/>
            <w:r>
              <w:rPr>
                <w:rFonts w:ascii="Times New Roman" w:hAnsi="Times New Roman"/>
                <w:b w:val="0"/>
                <w:i w:val="0"/>
                <w:sz w:val="16"/>
              </w:rPr>
              <w:t>Big-4 pooled (primary)</w:t>
            </w:r>
          </w:p>
        </w:tc>
        <w:tc>
          <w:tcPr>
            <w:tcW w:type="dxa" w:w="2880"/>
          </w:tcPr>
          <w:p>
            <w:pPr>
              <w:jc w:val="center"/>
            </w:pPr>
            <w:r/>
            <w:r>
              <w:rPr>
                <w:rFonts w:ascii="Times New Roman" w:hAnsi="Times New Roman"/>
                <w:b w:val="0"/>
                <w:i w:val="0"/>
                <w:sz w:val="16"/>
              </w:rPr>
              <w:t>none (</w:t>
            </w:r>
            <w:r>
              <w:rPr>
                <w:rFonts w:ascii="Times New Roman" w:hAnsi="Times New Roman"/>
                <w:b w:val="0"/>
                <w:i w:val="0"/>
                <w:sz w:val="16"/>
              </w:rPr>
              <w:t>p &gt; 0.05</w:t>
            </w:r>
            <w:r>
              <w:rPr>
                <w:rFonts w:ascii="Times New Roman" w:hAnsi="Times New Roman"/>
                <w:b w:val="0"/>
                <w:i w:val="0"/>
                <w:sz w:val="16"/>
              </w:rPr>
              <w:t>)</w:t>
            </w:r>
          </w:p>
        </w:tc>
        <w:tc>
          <w:tcPr>
            <w:tcW w:type="dxa" w:w="2880"/>
          </w:tcPr>
          <w:p>
            <w:pPr>
              <w:jc w:val="center"/>
            </w:pPr>
            <w:r/>
            <w:r>
              <w:rPr>
                <w:rFonts w:ascii="Times New Roman" w:hAnsi="Times New Roman"/>
                <w:b w:val="0"/>
                <w:i w:val="0"/>
                <w:sz w:val="16"/>
              </w:rPr>
              <w:t>none (</w:t>
            </w:r>
            <w:r>
              <w:rPr>
                <w:rFonts w:ascii="Times New Roman" w:hAnsi="Times New Roman"/>
                <w:b w:val="0"/>
                <w:i w:val="0"/>
                <w:sz w:val="16"/>
              </w:rPr>
              <w:t>p &gt; 0.05</w:t>
            </w:r>
            <w:r>
              <w:rPr>
                <w:rFonts w:ascii="Times New Roman" w:hAnsi="Times New Roman"/>
                <w:b w:val="0"/>
                <w:i w:val="0"/>
                <w:sz w:val="16"/>
              </w:rPr>
              <w:t>)</w:t>
            </w:r>
          </w:p>
        </w:tc>
      </w:tr>
      <w:tr>
        <w:tc>
          <w:tcPr>
            <w:tcW w:type="dxa" w:w="2880"/>
          </w:tcPr>
          <w:p>
            <w:pPr>
              <w:jc w:val="center"/>
            </w:pPr>
            <w:r/>
            <w:r>
              <w:rPr>
                <w:rFonts w:ascii="Times New Roman" w:hAnsi="Times New Roman"/>
                <w:b w:val="0"/>
                <w:i w:val="0"/>
                <w:sz w:val="16"/>
              </w:rPr>
              <w:t>Firm A pooled alone</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none</w:t>
            </w:r>
          </w:p>
        </w:tc>
      </w:tr>
      <w:tr>
        <w:tc>
          <w:tcPr>
            <w:tcW w:type="dxa" w:w="2880"/>
          </w:tcPr>
          <w:p>
            <w:pPr>
              <w:jc w:val="center"/>
            </w:pPr>
            <w:r/>
            <w:r>
              <w:rPr>
                <w:rFonts w:ascii="Times New Roman" w:hAnsi="Times New Roman"/>
                <w:b w:val="0"/>
                <w:i w:val="0"/>
                <w:sz w:val="16"/>
              </w:rPr>
              <w:t>Firms B + C + D pooled</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 xml:space="preserve">one transition at </w:t>
            </w:r>
            <w:r>
              <w:rPr>
                <w:rFonts w:ascii="Times New Roman" w:hAnsi="Times New Roman"/>
                <w:b w:val="0"/>
                <w:i w:val="0"/>
                <w:sz w:val="16"/>
              </w:rPr>
              <w:t>dHash = 10.8</w:t>
            </w:r>
          </w:p>
        </w:tc>
      </w:tr>
      <w:tr>
        <w:tc>
          <w:tcPr>
            <w:tcW w:type="dxa" w:w="2880"/>
          </w:tcPr>
          <w:p>
            <w:pPr>
              <w:jc w:val="center"/>
            </w:pPr>
            <w:r/>
            <w:r>
              <w:rPr>
                <w:rFonts w:ascii="Times New Roman" w:hAnsi="Times New Roman"/>
                <w:b w:val="0"/>
                <w:i w:val="0"/>
                <w:sz w:val="16"/>
              </w:rPr>
              <w:t>All non-Firm-A pooled</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 xml:space="preserve">one transition at </w:t>
            </w:r>
            <w:r>
              <w:rPr>
                <w:rFonts w:ascii="Times New Roman" w:hAnsi="Times New Roman"/>
                <w:b w:val="0"/>
                <w:i w:val="0"/>
                <w:sz w:val="16"/>
              </w:rPr>
              <w:t>dHash = 6.6</w:t>
            </w:r>
          </w:p>
        </w:tc>
      </w:tr>
    </w:tbl>
    <w:p/>
    <w:p>
      <w:pPr>
        <w:spacing w:after="120"/>
      </w:pPr>
      <w:r>
        <w:rPr>
          <w:rFonts w:ascii="Times New Roman" w:hAnsi="Times New Roman"/>
          <w:b w:val="0"/>
          <w:i w:val="0"/>
          <w:sz w:val="20"/>
        </w:rPr>
        <w:t>The Big-4-scope null on both axes is consistent with the §IV-E mixture evidence: the K=3 components overlap in their tails rather than separating sharply, so a local-discontinuity test does not flag a transition. Outside Big-4, dHash transitions appear in some subsets but no cosine transition is identified in any tested subset (Script 32 sweeps; pre-2018 and post-2020 stratified variants exhibit dHash transitions at varying locations). These off-Big-4 dHash transitions are scope-dependent and are not used as operational thresholds; we do not claim a specific structural interpretation for them without an explicit bin-width sensitivity sweep at those scopes.</w:t>
      </w:r>
    </w:p>
    <w:p>
      <w:pPr>
        <w:pStyle w:val="Heading2"/>
      </w:pPr>
      <w:r>
        <w:rPr>
          <w:color w:val="000000"/>
        </w:rPr>
        <w:t>E. Big-4 K=2 / K=3 Mixture Fits</w:t>
      </w:r>
    </w:p>
    <w:p>
      <w:pPr>
        <w:spacing w:after="120"/>
      </w:pPr>
      <w:r>
        <w:rPr>
          <w:rFonts w:ascii="Times New Roman" w:hAnsi="Times New Roman"/>
          <w:b w:val="0"/>
          <w:i w:val="0"/>
          <w:sz w:val="20"/>
        </w:rPr>
        <w:t>This section reports the K=2 and K=3 2D Gaussian mixture fits to the Big-4 accountant-level distribution and the bootstrap stability of their marginal crossings.</w:t>
      </w:r>
    </w:p>
    <w:p>
      <w:pPr>
        <w:spacing w:after="120"/>
      </w:pPr>
      <w:r>
        <w:rPr>
          <w:rFonts w:ascii="Times New Roman" w:hAnsi="Times New Roman"/>
          <w:b w:val="0"/>
          <w:i w:val="0"/>
          <w:sz w:val="20"/>
        </w:rPr>
        <w:t>Table VII. Big-4 K=2 mixture components (descriptive partition; not mechanism clusters per §III-J) and marginal-crossing bootstrap 95% confidence intervals.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K=2 component</w:t>
            </w:r>
          </w:p>
        </w:tc>
        <w:tc>
          <w:tcPr>
            <w:tcW w:type="dxa" w:w="2160"/>
          </w:tcPr>
          <w:p>
            <w:pPr>
              <w:jc w:val="center"/>
            </w:pPr>
            <w:r/>
            <w:r>
              <w:rPr>
                <w:rFonts w:ascii="Times New Roman" w:hAnsi="Times New Roman"/>
                <w:b/>
                <w:i w:val="0"/>
                <w:sz w:val="16"/>
              </w:rPr>
              <w:t>cos</w:t>
            </w:r>
          </w:p>
        </w:tc>
        <w:tc>
          <w:tcPr>
            <w:tcW w:type="dxa" w:w="2160"/>
          </w:tcPr>
          <w:p>
            <w:pPr>
              <w:jc w:val="center"/>
            </w:pPr>
            <w:r/>
            <w:r>
              <w:rPr>
                <w:rFonts w:ascii="Times New Roman" w:hAnsi="Times New Roman"/>
                <w:b/>
                <w:i w:val="0"/>
                <w:sz w:val="16"/>
              </w:rPr>
              <w:t>dHash</w:t>
            </w:r>
          </w:p>
        </w:tc>
        <w:tc>
          <w:tcPr>
            <w:tcW w:type="dxa" w:w="2160"/>
          </w:tcPr>
          <w:p>
            <w:pPr>
              <w:jc w:val="center"/>
            </w:pPr>
            <w:r/>
            <w:r>
              <w:rPr>
                <w:rFonts w:ascii="Times New Roman" w:hAnsi="Times New Roman"/>
                <w:b/>
                <w:i w:val="0"/>
                <w:sz w:val="16"/>
              </w:rPr>
              <w:t>weight</w:t>
            </w:r>
          </w:p>
        </w:tc>
      </w:tr>
      <w:tr>
        <w:tc>
          <w:tcPr>
            <w:tcW w:type="dxa" w:w="2160"/>
          </w:tcPr>
          <w:p>
            <w:pPr>
              <w:jc w:val="center"/>
            </w:pPr>
            <w:r/>
            <w:r>
              <w:rPr>
                <w:rFonts w:ascii="Times New Roman" w:hAnsi="Times New Roman"/>
                <w:b w:val="0"/>
                <w:i w:val="0"/>
                <w:sz w:val="16"/>
              </w:rPr>
              <w:t>K=2-a (low-cos / high-dHash position)</w:t>
            </w:r>
          </w:p>
        </w:tc>
        <w:tc>
          <w:tcPr>
            <w:tcW w:type="dxa" w:w="2160"/>
          </w:tcPr>
          <w:p>
            <w:pPr>
              <w:jc w:val="center"/>
            </w:pPr>
            <w:r/>
            <w:r>
              <w:rPr>
                <w:rFonts w:ascii="Times New Roman" w:hAnsi="Times New Roman"/>
                <w:b w:val="0"/>
                <w:i w:val="0"/>
                <w:sz w:val="16"/>
              </w:rPr>
              <w:t>0.954</w:t>
            </w:r>
          </w:p>
        </w:tc>
        <w:tc>
          <w:tcPr>
            <w:tcW w:type="dxa" w:w="2160"/>
          </w:tcPr>
          <w:p>
            <w:pPr>
              <w:jc w:val="center"/>
            </w:pPr>
            <w:r/>
            <w:r>
              <w:rPr>
                <w:rFonts w:ascii="Times New Roman" w:hAnsi="Times New Roman"/>
                <w:b w:val="0"/>
                <w:i w:val="0"/>
                <w:sz w:val="16"/>
              </w:rPr>
              <w:t>7.14</w:t>
            </w:r>
          </w:p>
        </w:tc>
        <w:tc>
          <w:tcPr>
            <w:tcW w:type="dxa" w:w="2160"/>
          </w:tcPr>
          <w:p>
            <w:pPr>
              <w:jc w:val="center"/>
            </w:pPr>
            <w:r/>
            <w:r>
              <w:rPr>
                <w:rFonts w:ascii="Times New Roman" w:hAnsi="Times New Roman"/>
                <w:b w:val="0"/>
                <w:i w:val="0"/>
                <w:sz w:val="16"/>
              </w:rPr>
              <w:t>0.689</w:t>
            </w:r>
          </w:p>
        </w:tc>
      </w:tr>
      <w:tr>
        <w:tc>
          <w:tcPr>
            <w:tcW w:type="dxa" w:w="2160"/>
          </w:tcPr>
          <w:p>
            <w:pPr>
              <w:jc w:val="center"/>
            </w:pPr>
            <w:r/>
            <w:r>
              <w:rPr>
                <w:rFonts w:ascii="Times New Roman" w:hAnsi="Times New Roman"/>
                <w:b w:val="0"/>
                <w:i w:val="0"/>
                <w:sz w:val="16"/>
              </w:rPr>
              <w:t>K=2-b (high-cos / low-dHash position)</w:t>
            </w:r>
          </w:p>
        </w:tc>
        <w:tc>
          <w:tcPr>
            <w:tcW w:type="dxa" w:w="2160"/>
          </w:tcPr>
          <w:p>
            <w:pPr>
              <w:jc w:val="center"/>
            </w:pPr>
            <w:r/>
            <w:r>
              <w:rPr>
                <w:rFonts w:ascii="Times New Roman" w:hAnsi="Times New Roman"/>
                <w:b w:val="0"/>
                <w:i w:val="0"/>
                <w:sz w:val="16"/>
              </w:rPr>
              <w:t>0.983</w:t>
            </w:r>
          </w:p>
        </w:tc>
        <w:tc>
          <w:tcPr>
            <w:tcW w:type="dxa" w:w="2160"/>
          </w:tcPr>
          <w:p>
            <w:pPr>
              <w:jc w:val="center"/>
            </w:pPr>
            <w:r/>
            <w:r>
              <w:rPr>
                <w:rFonts w:ascii="Times New Roman" w:hAnsi="Times New Roman"/>
                <w:b w:val="0"/>
                <w:i w:val="0"/>
                <w:sz w:val="16"/>
              </w:rPr>
              <w:t>2.41</w:t>
            </w:r>
          </w:p>
        </w:tc>
        <w:tc>
          <w:tcPr>
            <w:tcW w:type="dxa" w:w="2160"/>
          </w:tcPr>
          <w:p>
            <w:pPr>
              <w:jc w:val="center"/>
            </w:pPr>
            <w:r/>
            <w:r>
              <w:rPr>
                <w:rFonts w:ascii="Times New Roman" w:hAnsi="Times New Roman"/>
                <w:b w:val="0"/>
                <w:i w:val="0"/>
                <w:sz w:val="16"/>
              </w:rPr>
              <w:t>0.311</w:t>
            </w:r>
          </w:p>
        </w:tc>
      </w:tr>
    </w:tbl>
    <w:p/>
    <w:p>
      <w:pPr>
        <w:spacing w:after="120"/>
      </w:pPr>
      <w:r>
        <w:rPr>
          <w:rFonts w:ascii="Times New Roman" w:hAnsi="Times New Roman"/>
          <w:b w:val="0"/>
          <w:i w:val="0"/>
          <w:sz w:val="20"/>
        </w:rPr>
        <w:t xml:space="preserve">Marginal crossings (point + bootstrap 95% CI,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500</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Axis</w:t>
            </w:r>
          </w:p>
        </w:tc>
        <w:tc>
          <w:tcPr>
            <w:tcW w:type="dxa" w:w="1728"/>
          </w:tcPr>
          <w:p>
            <w:pPr>
              <w:jc w:val="center"/>
            </w:pPr>
            <w:r/>
            <w:r>
              <w:rPr>
                <w:rFonts w:ascii="Times New Roman" w:hAnsi="Times New Roman"/>
                <w:b/>
                <w:i w:val="0"/>
                <w:sz w:val="16"/>
              </w:rPr>
              <w:t>Point</w:t>
            </w:r>
          </w:p>
        </w:tc>
        <w:tc>
          <w:tcPr>
            <w:tcW w:type="dxa" w:w="1728"/>
          </w:tcPr>
          <w:p>
            <w:pPr>
              <w:jc w:val="center"/>
            </w:pPr>
            <w:r/>
            <w:r>
              <w:rPr>
                <w:rFonts w:ascii="Times New Roman" w:hAnsi="Times New Roman"/>
                <w:b/>
                <w:i w:val="0"/>
                <w:sz w:val="16"/>
              </w:rPr>
              <w:t>Bootstrap median</w:t>
            </w:r>
          </w:p>
        </w:tc>
        <w:tc>
          <w:tcPr>
            <w:tcW w:type="dxa" w:w="1728"/>
          </w:tcPr>
          <w:p>
            <w:pPr>
              <w:jc w:val="center"/>
            </w:pPr>
            <w:r/>
            <w:r>
              <w:rPr>
                <w:rFonts w:ascii="Times New Roman" w:hAnsi="Times New Roman"/>
                <w:b/>
                <w:i w:val="0"/>
                <w:sz w:val="16"/>
              </w:rPr>
              <w:t>95% CI</w:t>
            </w:r>
          </w:p>
        </w:tc>
        <w:tc>
          <w:tcPr>
            <w:tcW w:type="dxa" w:w="1728"/>
          </w:tcPr>
          <w:p>
            <w:pPr>
              <w:jc w:val="center"/>
            </w:pPr>
            <w:r/>
            <w:r>
              <w:rPr>
                <w:rFonts w:ascii="Times New Roman" w:hAnsi="Times New Roman"/>
                <w:b/>
                <w:i w:val="0"/>
                <w:sz w:val="16"/>
              </w:rPr>
              <w:t>CI half-width</w:t>
            </w:r>
          </w:p>
        </w:tc>
      </w:tr>
      <w:tr>
        <w:tc>
          <w:tcPr>
            <w:tcW w:type="dxa" w:w="1728"/>
          </w:tcPr>
          <w:p>
            <w:pPr>
              <w:jc w:val="center"/>
            </w:pPr>
            <w:r/>
            <w:r>
              <w:rPr>
                <w:rFonts w:ascii="Times New Roman" w:hAnsi="Times New Roman"/>
                <w:b w:val="0"/>
                <w:i w:val="0"/>
                <w:sz w:val="16"/>
              </w:rPr>
              <w:t>cos</w:t>
            </w:r>
          </w:p>
        </w:tc>
        <w:tc>
          <w:tcPr>
            <w:tcW w:type="dxa" w:w="1728"/>
          </w:tcPr>
          <w:p>
            <w:pPr>
              <w:jc w:val="center"/>
            </w:pPr>
            <w:r/>
            <w:r>
              <w:rPr>
                <w:rFonts w:ascii="Times New Roman" w:hAnsi="Times New Roman"/>
                <w:b w:val="0"/>
                <w:i w:val="0"/>
                <w:sz w:val="16"/>
              </w:rPr>
              <w:t>0.9755</w:t>
            </w:r>
          </w:p>
        </w:tc>
        <w:tc>
          <w:tcPr>
            <w:tcW w:type="dxa" w:w="1728"/>
          </w:tcPr>
          <w:p>
            <w:pPr>
              <w:jc w:val="center"/>
            </w:pPr>
            <w:r/>
            <w:r>
              <w:rPr>
                <w:rFonts w:ascii="Times New Roman" w:hAnsi="Times New Roman"/>
                <w:b w:val="0"/>
                <w:i w:val="0"/>
                <w:sz w:val="16"/>
              </w:rPr>
              <w:t>0.9754</w:t>
            </w:r>
          </w:p>
        </w:tc>
        <w:tc>
          <w:tcPr>
            <w:tcW w:type="dxa" w:w="1728"/>
          </w:tcPr>
          <w:p>
            <w:pPr>
              <w:jc w:val="center"/>
            </w:pPr>
            <w:r/>
            <w:r>
              <w:rPr>
                <w:rFonts w:ascii="Times New Roman" w:hAnsi="Times New Roman"/>
                <w:b w:val="0"/>
                <w:i w:val="0"/>
                <w:sz w:val="16"/>
              </w:rPr>
              <w:t>[0.9742, 0.9772]</w:t>
            </w:r>
          </w:p>
        </w:tc>
        <w:tc>
          <w:tcPr>
            <w:tcW w:type="dxa" w:w="1728"/>
          </w:tcPr>
          <w:p>
            <w:pPr>
              <w:jc w:val="center"/>
            </w:pPr>
            <w:r/>
            <w:r>
              <w:rPr>
                <w:rFonts w:ascii="Times New Roman" w:hAnsi="Times New Roman"/>
                <w:b w:val="0"/>
                <w:i w:val="0"/>
                <w:sz w:val="16"/>
              </w:rPr>
              <w:t>0.0015</w:t>
            </w:r>
          </w:p>
        </w:tc>
      </w:tr>
      <w:tr>
        <w:tc>
          <w:tcPr>
            <w:tcW w:type="dxa" w:w="1728"/>
          </w:tcPr>
          <w:p>
            <w:pPr>
              <w:jc w:val="center"/>
            </w:pPr>
            <w:r/>
            <w:r>
              <w:rPr>
                <w:rFonts w:ascii="Times New Roman" w:hAnsi="Times New Roman"/>
                <w:b w:val="0"/>
                <w:i w:val="0"/>
                <w:sz w:val="16"/>
              </w:rPr>
              <w:t>dHash</w:t>
            </w:r>
          </w:p>
        </w:tc>
        <w:tc>
          <w:tcPr>
            <w:tcW w:type="dxa" w:w="1728"/>
          </w:tcPr>
          <w:p>
            <w:pPr>
              <w:jc w:val="center"/>
            </w:pPr>
            <w:r/>
            <w:r>
              <w:rPr>
                <w:rFonts w:ascii="Times New Roman" w:hAnsi="Times New Roman"/>
                <w:b w:val="0"/>
                <w:i w:val="0"/>
                <w:sz w:val="16"/>
              </w:rPr>
              <w:t>3.755</w:t>
            </w:r>
          </w:p>
        </w:tc>
        <w:tc>
          <w:tcPr>
            <w:tcW w:type="dxa" w:w="1728"/>
          </w:tcPr>
          <w:p>
            <w:pPr>
              <w:jc w:val="center"/>
            </w:pPr>
            <w:r/>
            <w:r>
              <w:rPr>
                <w:rFonts w:ascii="Times New Roman" w:hAnsi="Times New Roman"/>
                <w:b w:val="0"/>
                <w:i w:val="0"/>
                <w:sz w:val="16"/>
              </w:rPr>
              <w:t>3.763</w:t>
            </w:r>
          </w:p>
        </w:tc>
        <w:tc>
          <w:tcPr>
            <w:tcW w:type="dxa" w:w="1728"/>
          </w:tcPr>
          <w:p>
            <w:pPr>
              <w:jc w:val="center"/>
            </w:pPr>
            <w:r/>
            <w:r>
              <w:rPr>
                <w:rFonts w:ascii="Times New Roman" w:hAnsi="Times New Roman"/>
                <w:b w:val="0"/>
                <w:i w:val="0"/>
                <w:sz w:val="16"/>
              </w:rPr>
              <w:t>[3.476, 3.969]</w:t>
            </w:r>
          </w:p>
        </w:tc>
        <w:tc>
          <w:tcPr>
            <w:tcW w:type="dxa" w:w="1728"/>
          </w:tcPr>
          <w:p>
            <w:pPr>
              <w:jc w:val="center"/>
            </w:pPr>
            <w:r/>
            <w:r>
              <w:rPr>
                <w:rFonts w:ascii="Times New Roman" w:hAnsi="Times New Roman"/>
                <w:b w:val="0"/>
                <w:i w:val="0"/>
                <w:sz w:val="16"/>
              </w:rPr>
              <w:t>0.246</w:t>
            </w:r>
          </w:p>
        </w:tc>
      </w:tr>
    </w:tbl>
    <w:p/>
    <w:p>
      <w:pPr>
        <w:spacing w:after="120"/>
      </w:pPr>
      <w:r>
        <w:rPr>
          <w:rFonts w:ascii="Times New Roman" w:hAnsi="Times New Roman"/>
          <w:b w:val="0"/>
          <w:i w:val="0"/>
          <w:sz w:val="20"/>
        </w:rPr>
        <w:t>BIC(K=2) = -1108.45</w:t>
      </w:r>
      <w:r>
        <w:rPr>
          <w:rFonts w:ascii="Times New Roman" w:hAnsi="Times New Roman"/>
          <w:b w:val="0"/>
          <w:i w:val="0"/>
          <w:sz w:val="20"/>
        </w:rPr>
        <w:t xml:space="preserve"> (Script 34).</w:t>
      </w:r>
    </w:p>
    <w:p>
      <w:pPr>
        <w:spacing w:after="120"/>
      </w:pPr>
      <w:r>
        <w:rPr>
          <w:rFonts w:ascii="Times New Roman" w:hAnsi="Times New Roman"/>
          <w:b w:val="0"/>
          <w:i w:val="0"/>
          <w:sz w:val="20"/>
        </w:rPr>
        <w:t>Table VIII. Big-4 K=3 mixture components (descriptive firm-compositional partition per §III-J; not mechanism clusters).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K=3 component</w:t>
            </w:r>
          </w:p>
        </w:tc>
        <w:tc>
          <w:tcPr>
            <w:tcW w:type="dxa" w:w="1728"/>
          </w:tcPr>
          <w:p>
            <w:pPr>
              <w:jc w:val="center"/>
            </w:pPr>
            <w:r/>
            <w:r>
              <w:rPr>
                <w:rFonts w:ascii="Times New Roman" w:hAnsi="Times New Roman"/>
                <w:b/>
                <w:i w:val="0"/>
                <w:sz w:val="16"/>
              </w:rPr>
              <w:t>cos</w:t>
            </w:r>
          </w:p>
        </w:tc>
        <w:tc>
          <w:tcPr>
            <w:tcW w:type="dxa" w:w="1728"/>
          </w:tcPr>
          <w:p>
            <w:pPr>
              <w:jc w:val="center"/>
            </w:pPr>
            <w:r/>
            <w:r>
              <w:rPr>
                <w:rFonts w:ascii="Times New Roman" w:hAnsi="Times New Roman"/>
                <w:b/>
                <w:i w:val="0"/>
                <w:sz w:val="16"/>
              </w:rPr>
              <w:t>dHash</w:t>
            </w:r>
          </w:p>
        </w:tc>
        <w:tc>
          <w:tcPr>
            <w:tcW w:type="dxa" w:w="1728"/>
          </w:tcPr>
          <w:p>
            <w:pPr>
              <w:jc w:val="center"/>
            </w:pPr>
            <w:r/>
            <w:r>
              <w:rPr>
                <w:rFonts w:ascii="Times New Roman" w:hAnsi="Times New Roman"/>
                <w:b/>
                <w:i w:val="0"/>
                <w:sz w:val="16"/>
              </w:rPr>
              <w:t>weight</w:t>
            </w:r>
          </w:p>
        </w:tc>
        <w:tc>
          <w:tcPr>
            <w:tcW w:type="dxa" w:w="1728"/>
          </w:tcPr>
          <w:p>
            <w:pPr>
              <w:jc w:val="center"/>
            </w:pPr>
            <w:r/>
            <w:r>
              <w:rPr>
                <w:rFonts w:ascii="Times New Roman" w:hAnsi="Times New Roman"/>
                <w:b/>
                <w:i w:val="0"/>
                <w:sz w:val="16"/>
              </w:rPr>
              <w:t>descriptive position</w:t>
            </w:r>
          </w:p>
        </w:tc>
      </w:tr>
      <w:tr>
        <w:tc>
          <w:tcPr>
            <w:tcW w:type="dxa" w:w="1728"/>
          </w:tcPr>
          <w:p>
            <w:pPr>
              <w:jc w:val="center"/>
            </w:pPr>
            <w:r/>
            <w:r>
              <w:rPr>
                <w:rFonts w:ascii="Times New Roman" w:hAnsi="Times New Roman"/>
                <w:b w:val="0"/>
                <w:i w:val="0"/>
                <w:sz w:val="16"/>
              </w:rPr>
              <w:t>C1</w:t>
            </w:r>
          </w:p>
        </w:tc>
        <w:tc>
          <w:tcPr>
            <w:tcW w:type="dxa" w:w="1728"/>
          </w:tcPr>
          <w:p>
            <w:pPr>
              <w:jc w:val="center"/>
            </w:pPr>
            <w:r/>
            <w:r>
              <w:rPr>
                <w:rFonts w:ascii="Times New Roman" w:hAnsi="Times New Roman"/>
                <w:b w:val="0"/>
                <w:i w:val="0"/>
                <w:sz w:val="16"/>
              </w:rPr>
              <w:t>0.9457</w:t>
            </w:r>
          </w:p>
        </w:tc>
        <w:tc>
          <w:tcPr>
            <w:tcW w:type="dxa" w:w="1728"/>
          </w:tcPr>
          <w:p>
            <w:pPr>
              <w:jc w:val="center"/>
            </w:pPr>
            <w:r/>
            <w:r>
              <w:rPr>
                <w:rFonts w:ascii="Times New Roman" w:hAnsi="Times New Roman"/>
                <w:b w:val="0"/>
                <w:i w:val="0"/>
                <w:sz w:val="16"/>
              </w:rPr>
              <w:t>9.17</w:t>
            </w:r>
          </w:p>
        </w:tc>
        <w:tc>
          <w:tcPr>
            <w:tcW w:type="dxa" w:w="1728"/>
          </w:tcPr>
          <w:p>
            <w:pPr>
              <w:jc w:val="center"/>
            </w:pPr>
            <w:r/>
            <w:r>
              <w:rPr>
                <w:rFonts w:ascii="Times New Roman" w:hAnsi="Times New Roman"/>
                <w:b w:val="0"/>
                <w:i w:val="0"/>
                <w:sz w:val="16"/>
              </w:rPr>
              <w:t>0.143</w:t>
            </w:r>
          </w:p>
        </w:tc>
        <w:tc>
          <w:tcPr>
            <w:tcW w:type="dxa" w:w="1728"/>
          </w:tcPr>
          <w:p>
            <w:pPr>
              <w:jc w:val="center"/>
            </w:pPr>
            <w:r/>
            <w:r>
              <w:rPr>
                <w:rFonts w:ascii="Times New Roman" w:hAnsi="Times New Roman"/>
                <w:b w:val="0"/>
                <w:i w:val="0"/>
                <w:sz w:val="16"/>
              </w:rPr>
              <w:t>low-cos / high-dHash corner</w:t>
            </w:r>
          </w:p>
        </w:tc>
      </w:tr>
      <w:tr>
        <w:tc>
          <w:tcPr>
            <w:tcW w:type="dxa" w:w="1728"/>
          </w:tcPr>
          <w:p>
            <w:pPr>
              <w:jc w:val="center"/>
            </w:pPr>
            <w:r/>
            <w:r>
              <w:rPr>
                <w:rFonts w:ascii="Times New Roman" w:hAnsi="Times New Roman"/>
                <w:b w:val="0"/>
                <w:i w:val="0"/>
                <w:sz w:val="16"/>
              </w:rPr>
              <w:t>C2</w:t>
            </w:r>
          </w:p>
        </w:tc>
        <w:tc>
          <w:tcPr>
            <w:tcW w:type="dxa" w:w="1728"/>
          </w:tcPr>
          <w:p>
            <w:pPr>
              <w:jc w:val="center"/>
            </w:pPr>
            <w:r/>
            <w:r>
              <w:rPr>
                <w:rFonts w:ascii="Times New Roman" w:hAnsi="Times New Roman"/>
                <w:b w:val="0"/>
                <w:i w:val="0"/>
                <w:sz w:val="16"/>
              </w:rPr>
              <w:t>0.9558</w:t>
            </w:r>
          </w:p>
        </w:tc>
        <w:tc>
          <w:tcPr>
            <w:tcW w:type="dxa" w:w="1728"/>
          </w:tcPr>
          <w:p>
            <w:pPr>
              <w:jc w:val="center"/>
            </w:pPr>
            <w:r/>
            <w:r>
              <w:rPr>
                <w:rFonts w:ascii="Times New Roman" w:hAnsi="Times New Roman"/>
                <w:b w:val="0"/>
                <w:i w:val="0"/>
                <w:sz w:val="16"/>
              </w:rPr>
              <w:t>6.66</w:t>
            </w:r>
          </w:p>
        </w:tc>
        <w:tc>
          <w:tcPr>
            <w:tcW w:type="dxa" w:w="1728"/>
          </w:tcPr>
          <w:p>
            <w:pPr>
              <w:jc w:val="center"/>
            </w:pPr>
            <w:r/>
            <w:r>
              <w:rPr>
                <w:rFonts w:ascii="Times New Roman" w:hAnsi="Times New Roman"/>
                <w:b w:val="0"/>
                <w:i w:val="0"/>
                <w:sz w:val="16"/>
              </w:rPr>
              <w:t>0.536</w:t>
            </w:r>
          </w:p>
        </w:tc>
        <w:tc>
          <w:tcPr>
            <w:tcW w:type="dxa" w:w="1728"/>
          </w:tcPr>
          <w:p>
            <w:pPr>
              <w:jc w:val="center"/>
            </w:pPr>
            <w:r/>
            <w:r>
              <w:rPr>
                <w:rFonts w:ascii="Times New Roman" w:hAnsi="Times New Roman"/>
                <w:b w:val="0"/>
                <w:i w:val="0"/>
                <w:sz w:val="16"/>
              </w:rPr>
              <w:t>central region</w:t>
            </w:r>
          </w:p>
        </w:tc>
      </w:tr>
      <w:tr>
        <w:tc>
          <w:tcPr>
            <w:tcW w:type="dxa" w:w="1728"/>
          </w:tcPr>
          <w:p>
            <w:pPr>
              <w:jc w:val="center"/>
            </w:pPr>
            <w:r/>
            <w:r>
              <w:rPr>
                <w:rFonts w:ascii="Times New Roman" w:hAnsi="Times New Roman"/>
                <w:b w:val="0"/>
                <w:i w:val="0"/>
                <w:sz w:val="16"/>
              </w:rPr>
              <w:t>C3</w:t>
            </w:r>
          </w:p>
        </w:tc>
        <w:tc>
          <w:tcPr>
            <w:tcW w:type="dxa" w:w="1728"/>
          </w:tcPr>
          <w:p>
            <w:pPr>
              <w:jc w:val="center"/>
            </w:pPr>
            <w:r/>
            <w:r>
              <w:rPr>
                <w:rFonts w:ascii="Times New Roman" w:hAnsi="Times New Roman"/>
                <w:b w:val="0"/>
                <w:i w:val="0"/>
                <w:sz w:val="16"/>
              </w:rPr>
              <w:t>0.9826</w:t>
            </w:r>
          </w:p>
        </w:tc>
        <w:tc>
          <w:tcPr>
            <w:tcW w:type="dxa" w:w="1728"/>
          </w:tcPr>
          <w:p>
            <w:pPr>
              <w:jc w:val="center"/>
            </w:pPr>
            <w:r/>
            <w:r>
              <w:rPr>
                <w:rFonts w:ascii="Times New Roman" w:hAnsi="Times New Roman"/>
                <w:b w:val="0"/>
                <w:i w:val="0"/>
                <w:sz w:val="16"/>
              </w:rPr>
              <w:t>2.41</w:t>
            </w:r>
          </w:p>
        </w:tc>
        <w:tc>
          <w:tcPr>
            <w:tcW w:type="dxa" w:w="1728"/>
          </w:tcPr>
          <w:p>
            <w:pPr>
              <w:jc w:val="center"/>
            </w:pPr>
            <w:r/>
            <w:r>
              <w:rPr>
                <w:rFonts w:ascii="Times New Roman" w:hAnsi="Times New Roman"/>
                <w:b w:val="0"/>
                <w:i w:val="0"/>
                <w:sz w:val="16"/>
              </w:rPr>
              <w:t>0.321</w:t>
            </w:r>
          </w:p>
        </w:tc>
        <w:tc>
          <w:tcPr>
            <w:tcW w:type="dxa" w:w="1728"/>
          </w:tcPr>
          <w:p>
            <w:pPr>
              <w:jc w:val="center"/>
            </w:pPr>
            <w:r/>
            <w:r>
              <w:rPr>
                <w:rFonts w:ascii="Times New Roman" w:hAnsi="Times New Roman"/>
                <w:b w:val="0"/>
                <w:i w:val="0"/>
                <w:sz w:val="16"/>
              </w:rPr>
              <w:t>high-cos / low-dHash corner</w:t>
            </w:r>
          </w:p>
        </w:tc>
      </w:tr>
    </w:tbl>
    <w:p/>
    <w:p>
      <w:pPr>
        <w:spacing w:after="120"/>
      </w:pPr>
      <w:r>
        <w:rPr>
          <w:rFonts w:ascii="Times New Roman" w:hAnsi="Times New Roman"/>
          <w:b w:val="0"/>
          <w:i w:val="0"/>
          <w:sz w:val="20"/>
        </w:rPr>
        <w:t>BIC(K=3) = -1111.93</w:t>
      </w:r>
      <w:r>
        <w:rPr>
          <w:rFonts w:ascii="Times New Roman" w:hAnsi="Times New Roman"/>
          <w:b w:val="0"/>
          <w:i w:val="0"/>
          <w:sz w:val="20"/>
        </w:rPr>
        <w:t xml:space="preserve">, lower than </w:t>
      </w:r>
      <w:r>
        <w:rPr>
          <w:rFonts w:ascii="Times New Roman" w:hAnsi="Times New Roman"/>
          <w:b w:val="0"/>
          <w:i w:val="0"/>
          <w:sz w:val="20"/>
        </w:rPr>
        <w:t>K=2</w:t>
      </w:r>
      <w:r>
        <w:rPr>
          <w:rFonts w:ascii="Times New Roman" w:hAnsi="Times New Roman"/>
          <w:b w:val="0"/>
          <w:i w:val="0"/>
          <w:sz w:val="20"/>
        </w:rPr>
        <w:t xml:space="preserve"> by </w:t>
      </w:r>
      <w:r>
        <w:rPr>
          <w:rFonts w:ascii="Times New Roman" w:hAnsi="Times New Roman"/>
          <w:b w:val="0"/>
          <w:i w:val="0"/>
          <w:sz w:val="20"/>
        </w:rPr>
        <w:t>3.48</w:t>
      </w:r>
      <w:r>
        <w:rPr>
          <w:rFonts w:ascii="Times New Roman" w:hAnsi="Times New Roman"/>
          <w:b w:val="0"/>
          <w:i w:val="0"/>
          <w:sz w:val="20"/>
        </w:rPr>
        <w:t xml:space="preserve"> (mild support; not by itself decisive). The full-fit K=3 baseline above is reproduced in Scripts 35, 37, and 38 with identical hyperparameters; Script 37 additionally fits K=3 on each leave-one-firm-out training set (those fold-specific components differ from the full-fit baseline by design and are reported separately in §IV-G Table XIII). Operational use of the K=2 / K=3 fits is governed by §III-J and §III-L; §IV-G reports the LOOO reproducibility evidence that motivates reporting both fits descriptively.</w:t>
      </w:r>
    </w:p>
    <w:p>
      <w:pPr>
        <w:pStyle w:val="Heading2"/>
      </w:pPr>
      <w:r>
        <w:rPr>
          <w:color w:val="000000"/>
        </w:rPr>
        <w:t>F. Convergent Internal-Consistency Checks</w:t>
      </w:r>
    </w:p>
    <w:p>
      <w:pPr>
        <w:spacing w:after="120"/>
      </w:pPr>
      <w:r>
        <w:rPr>
          <w:rFonts w:ascii="Times New Roman" w:hAnsi="Times New Roman"/>
          <w:b w:val="0"/>
          <w:i w:val="0"/>
          <w:sz w:val="20"/>
        </w:rPr>
        <w:t xml:space="preserve">This section reports the empirical evidence for §III-K's three-score internal-consistency analysis. We re-emphasise the §III-K caveat: the three scores are deterministic functions of the same per-CPA descriptor pair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and are not statistically independent measurements. The pairwise correlations document internal consistency among feature-derived ranks rather than external validation against an independent ground truth.</w:t>
      </w:r>
    </w:p>
    <w:p>
      <w:pPr>
        <w:spacing w:after="120"/>
      </w:pPr>
      <w:r>
        <w:rPr>
          <w:rFonts w:ascii="Times New Roman" w:hAnsi="Times New Roman"/>
          <w:b w:val="0"/>
          <w:i w:val="0"/>
          <w:sz w:val="20"/>
        </w:rPr>
        <w:t xml:space="preserve">Table IX. Per-CPA Spearman rank correlations among three feature-derived scores, Big-4, </w:t>
      </w:r>
      <w:r>
        <w:rPr>
          <w:rFonts w:ascii="Times New Roman" w:hAnsi="Times New Roman"/>
          <w:b w:val="0"/>
          <w:i w:val="0"/>
          <w:sz w:val="20"/>
        </w:rPr>
        <w:t>n = 437</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Score pair</w:t>
            </w:r>
          </w:p>
        </w:tc>
        <w:tc>
          <w:tcPr>
            <w:tcW w:type="dxa" w:w="2880"/>
          </w:tcPr>
          <w:p>
            <w:pPr>
              <w:jc w:val="center"/>
            </w:pPr>
            <w:r/>
            <w:r>
              <w:rPr>
                <w:rFonts w:ascii="Times New Roman" w:hAnsi="Times New Roman"/>
                <w:b/>
                <w:i w:val="0"/>
                <w:sz w:val="16"/>
              </w:rPr>
              <w:t xml:space="preserve">Spearman </w:t>
            </w:r>
            <w:r>
              <w:rPr>
                <w:rFonts w:ascii="Times New Roman" w:hAnsi="Times New Roman"/>
                <w:b/>
                <w:i w:val="0"/>
                <w:sz w:val="16"/>
              </w:rPr>
              <w:t>ρ</w:t>
            </w:r>
          </w:p>
        </w:tc>
        <w:tc>
          <w:tcPr>
            <w:tcW w:type="dxa" w:w="2880"/>
          </w:tcPr>
          <w:p>
            <w:pPr>
              <w:jc w:val="center"/>
            </w:pPr>
            <w:r/>
            <w:r>
              <w:rPr>
                <w:rFonts w:ascii="Times New Roman" w:hAnsi="Times New Roman"/>
                <w:b/>
                <w:i w:val="0"/>
                <w:sz w:val="16"/>
              </w:rPr>
              <w:t>p</w:t>
            </w:r>
            <w:r>
              <w:rPr>
                <w:rFonts w:ascii="Times New Roman" w:hAnsi="Times New Roman"/>
                <w:b/>
                <w:i w:val="0"/>
                <w:sz w:val="16"/>
              </w:rPr>
              <w:t>-value</w:t>
            </w:r>
          </w:p>
        </w:tc>
      </w:tr>
      <w:tr>
        <w:tc>
          <w:tcPr>
            <w:tcW w:type="dxa" w:w="2880"/>
          </w:tcPr>
          <w:p>
            <w:pPr>
              <w:jc w:val="center"/>
            </w:pPr>
            <w:r/>
            <w:r>
              <w:rPr>
                <w:rFonts w:ascii="Times New Roman" w:hAnsi="Times New Roman"/>
                <w:b w:val="0"/>
                <w:i w:val="0"/>
                <w:sz w:val="16"/>
              </w:rPr>
              <w:t>K=3 P(C1) vs deployed box-rule less-replication-dominated rate</w:t>
            </w:r>
          </w:p>
        </w:tc>
        <w:tc>
          <w:tcPr>
            <w:tcW w:type="dxa" w:w="2880"/>
          </w:tcPr>
          <w:p>
            <w:pPr>
              <w:jc w:val="center"/>
            </w:pPr>
            <w:r/>
            <w:r>
              <w:rPr>
                <w:rFonts w:ascii="Times New Roman" w:hAnsi="Times New Roman"/>
                <w:b w:val="0"/>
                <w:i w:val="0"/>
                <w:sz w:val="16"/>
              </w:rPr>
              <w:t>+0.9627</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880"/>
          </w:tcPr>
          <w:p>
            <w:pPr>
              <w:jc w:val="center"/>
            </w:pPr>
            <w:r/>
            <w:r>
              <w:rPr>
                <w:rFonts w:ascii="Times New Roman" w:hAnsi="Times New Roman"/>
                <w:b w:val="0"/>
                <w:i w:val="0"/>
                <w:sz w:val="16"/>
              </w:rPr>
              <w:t>Reverse-anchor cosine percentile vs deployed box-rule less-replication-dominated rate</w:t>
            </w:r>
          </w:p>
        </w:tc>
        <w:tc>
          <w:tcPr>
            <w:tcW w:type="dxa" w:w="2880"/>
          </w:tcPr>
          <w:p>
            <w:pPr>
              <w:jc w:val="center"/>
            </w:pPr>
            <w:r/>
            <w:r>
              <w:rPr>
                <w:rFonts w:ascii="Times New Roman" w:hAnsi="Times New Roman"/>
                <w:b w:val="0"/>
                <w:i w:val="0"/>
                <w:sz w:val="16"/>
              </w:rPr>
              <w:t>+0.8890</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-149</w:t>
            </w:r>
          </w:p>
        </w:tc>
      </w:tr>
      <w:tr>
        <w:tc>
          <w:tcPr>
            <w:tcW w:type="dxa" w:w="2880"/>
          </w:tcPr>
          <w:p>
            <w:pPr>
              <w:jc w:val="center"/>
            </w:pPr>
            <w:r/>
            <w:r>
              <w:rPr>
                <w:rFonts w:ascii="Times New Roman" w:hAnsi="Times New Roman"/>
                <w:b w:val="0"/>
                <w:i w:val="0"/>
                <w:sz w:val="16"/>
              </w:rPr>
              <w:t>K=3 P(C1) vs Reverse-anchor cosine percentile</w:t>
            </w:r>
          </w:p>
        </w:tc>
        <w:tc>
          <w:tcPr>
            <w:tcW w:type="dxa" w:w="2880"/>
          </w:tcPr>
          <w:p>
            <w:pPr>
              <w:jc w:val="center"/>
            </w:pPr>
            <w:r/>
            <w:r>
              <w:rPr>
                <w:rFonts w:ascii="Times New Roman" w:hAnsi="Times New Roman"/>
                <w:b w:val="0"/>
                <w:i w:val="0"/>
                <w:sz w:val="16"/>
              </w:rPr>
              <w:t>+0.8794</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-142</w:t>
            </w:r>
          </w:p>
        </w:tc>
      </w:tr>
    </w:tbl>
    <w:p/>
    <w:p>
      <w:pPr>
        <w:spacing w:after="120"/>
      </w:pPr>
      <w:r>
        <w:rPr>
          <w:rFonts w:ascii="Times New Roman" w:hAnsi="Times New Roman"/>
          <w:b w:val="0"/>
          <w:i w:val="0"/>
          <w:sz w:val="20"/>
        </w:rPr>
        <w:t xml:space="preserve">(Source: Script 38.) Reverse-anchor reference: 2D Gaussian fit by MCD (support fraction 0.85) on </w:t>
      </w:r>
      <w:r>
        <w:rPr>
          <w:rFonts w:ascii="Times New Roman" w:hAnsi="Times New Roman"/>
          <w:b w:val="0"/>
          <w:i w:val="0"/>
          <w:sz w:val="20"/>
        </w:rPr>
        <w:t>n = 249</w:t>
      </w:r>
      <w:r>
        <w:rPr>
          <w:rFonts w:ascii="Times New Roman" w:hAnsi="Times New Roman"/>
          <w:b w:val="0"/>
          <w:i w:val="0"/>
          <w:sz w:val="20"/>
        </w:rPr>
        <w:t xml:space="preserve"> non-Big-4 CPAs; reference centre </w:t>
      </w:r>
      <w:r>
        <w:rPr>
          <w:rFonts w:ascii="Times New Roman" w:hAnsi="Times New Roman"/>
          <w:b w:val="0"/>
          <w:i w:val="0"/>
          <w:sz w:val="20"/>
        </w:rPr>
        <w:t>cos = 0.935</w:t>
      </w:r>
      <w:r>
        <w:rPr>
          <w:rFonts w:ascii="Times New Roman" w:hAnsi="Times New Roman"/>
          <w:b w:val="0"/>
          <w:i w:val="0"/>
          <w:sz w:val="20"/>
        </w:rPr>
        <w:t xml:space="preserve">, </w:t>
      </w:r>
      <w:r>
        <w:rPr>
          <w:rFonts w:ascii="Times New Roman" w:hAnsi="Times New Roman"/>
          <w:b w:val="0"/>
          <w:i w:val="0"/>
          <w:sz w:val="20"/>
        </w:rPr>
        <w:t>dHash = 9.77</w:t>
      </w:r>
      <w:r>
        <w:rPr>
          <w:rFonts w:ascii="Times New Roman" w:hAnsi="Times New Roman"/>
          <w:b w:val="0"/>
          <w:i w:val="0"/>
          <w:sz w:val="20"/>
        </w:rPr>
        <w:t>.</w:t>
      </w:r>
    </w:p>
    <w:p>
      <w:pPr>
        <w:spacing w:after="120"/>
      </w:pPr>
      <w:r>
        <w:rPr>
          <w:rFonts w:ascii="Times New Roman" w:hAnsi="Times New Roman"/>
          <w:b w:val="0"/>
          <w:i w:val="0"/>
          <w:sz w:val="20"/>
        </w:rPr>
        <w:t>Table X. Per-firm summary across the three feature-derived scores, Big-4.</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Firm</w:t>
            </w:r>
          </w:p>
        </w:tc>
        <w:tc>
          <w:tcPr>
            <w:tcW w:type="dxa" w:w="1728"/>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1728"/>
          </w:tcPr>
          <w:p>
            <w:pPr>
              <w:jc w:val="center"/>
            </w:pPr>
            <w:r/>
            <w:r>
              <w:rPr>
                <w:rFonts w:ascii="Times New Roman" w:hAnsi="Times New Roman"/>
                <w:b/>
                <w:i w:val="0"/>
                <w:sz w:val="16"/>
              </w:rPr>
              <w:t xml:space="preserve">mean </w:t>
            </w:r>
            <w:r>
              <w:rPr>
                <w:rFonts w:ascii="Times New Roman" w:hAnsi="Times New Roman"/>
                <w:b/>
                <w:i w:val="0"/>
                <w:sz w:val="16"/>
              </w:rPr>
              <w:t>P(C1)</w:t>
            </w:r>
          </w:p>
        </w:tc>
        <w:tc>
          <w:tcPr>
            <w:tcW w:type="dxa" w:w="1728"/>
          </w:tcPr>
          <w:p>
            <w:pPr>
              <w:jc w:val="center"/>
            </w:pPr>
            <w:r/>
            <w:r>
              <w:rPr>
                <w:rFonts w:ascii="Times New Roman" w:hAnsi="Times New Roman"/>
                <w:b/>
                <w:i w:val="0"/>
                <w:sz w:val="16"/>
              </w:rPr>
              <w:t>mean reverse-anchor score</w:t>
            </w:r>
          </w:p>
        </w:tc>
        <w:tc>
          <w:tcPr>
            <w:tcW w:type="dxa" w:w="1728"/>
          </w:tcPr>
          <w:p>
            <w:pPr>
              <w:jc w:val="center"/>
            </w:pPr>
            <w:r/>
            <w:r>
              <w:rPr>
                <w:rFonts w:ascii="Times New Roman" w:hAnsi="Times New Roman"/>
                <w:b/>
                <w:i w:val="0"/>
                <w:sz w:val="16"/>
              </w:rPr>
              <w:t>mean deployed less-replication-dominated rate</w:t>
            </w:r>
          </w:p>
        </w:tc>
      </w:tr>
      <w:tr>
        <w:tc>
          <w:tcPr>
            <w:tcW w:type="dxa" w:w="1728"/>
          </w:tcPr>
          <w:p>
            <w:pPr>
              <w:jc w:val="center"/>
            </w:pPr>
            <w:r/>
            <w:r>
              <w:rPr>
                <w:rFonts w:ascii="Times New Roman" w:hAnsi="Times New Roman"/>
                <w:b w:val="0"/>
                <w:i w:val="0"/>
                <w:sz w:val="16"/>
              </w:rPr>
              <w:t>Firm A</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0.0072</w:t>
            </w:r>
          </w:p>
        </w:tc>
        <w:tc>
          <w:tcPr>
            <w:tcW w:type="dxa" w:w="1728"/>
          </w:tcPr>
          <w:p>
            <w:pPr>
              <w:jc w:val="center"/>
            </w:pPr>
            <w:r/>
            <w:r>
              <w:rPr>
                <w:rFonts w:ascii="Times New Roman" w:hAnsi="Times New Roman"/>
                <w:b w:val="0"/>
                <w:i w:val="0"/>
                <w:sz w:val="16"/>
              </w:rPr>
              <w:t>-0.9726</w:t>
            </w:r>
          </w:p>
        </w:tc>
        <w:tc>
          <w:tcPr>
            <w:tcW w:type="dxa" w:w="1728"/>
          </w:tcPr>
          <w:p>
            <w:pPr>
              <w:jc w:val="center"/>
            </w:pPr>
            <w:r/>
            <w:r>
              <w:rPr>
                <w:rFonts w:ascii="Times New Roman" w:hAnsi="Times New Roman"/>
                <w:b w:val="0"/>
                <w:i w:val="0"/>
                <w:sz w:val="16"/>
              </w:rPr>
              <w:t>0.1935</w:t>
            </w:r>
          </w:p>
        </w:tc>
      </w:tr>
      <w:tr>
        <w:tc>
          <w:tcPr>
            <w:tcW w:type="dxa" w:w="1728"/>
          </w:tcPr>
          <w:p>
            <w:pPr>
              <w:jc w:val="center"/>
            </w:pPr>
            <w:r/>
            <w:r>
              <w:rPr>
                <w:rFonts w:ascii="Times New Roman" w:hAnsi="Times New Roman"/>
                <w:b w:val="0"/>
                <w:i w:val="0"/>
                <w:sz w:val="16"/>
              </w:rPr>
              <w:t>Firm B</w:t>
            </w:r>
          </w:p>
        </w:tc>
        <w:tc>
          <w:tcPr>
            <w:tcW w:type="dxa" w:w="1728"/>
          </w:tcPr>
          <w:p>
            <w:pPr>
              <w:jc w:val="center"/>
            </w:pPr>
            <w:r/>
            <w:r>
              <w:rPr>
                <w:rFonts w:ascii="Times New Roman" w:hAnsi="Times New Roman"/>
                <w:b w:val="0"/>
                <w:i w:val="0"/>
                <w:sz w:val="16"/>
              </w:rPr>
              <w:t>112</w:t>
            </w:r>
          </w:p>
        </w:tc>
        <w:tc>
          <w:tcPr>
            <w:tcW w:type="dxa" w:w="1728"/>
          </w:tcPr>
          <w:p>
            <w:pPr>
              <w:jc w:val="center"/>
            </w:pPr>
            <w:r/>
            <w:r>
              <w:rPr>
                <w:rFonts w:ascii="Times New Roman" w:hAnsi="Times New Roman"/>
                <w:b w:val="0"/>
                <w:i w:val="0"/>
                <w:sz w:val="16"/>
              </w:rPr>
              <w:t>0.1410</w:t>
            </w:r>
          </w:p>
        </w:tc>
        <w:tc>
          <w:tcPr>
            <w:tcW w:type="dxa" w:w="1728"/>
          </w:tcPr>
          <w:p>
            <w:pPr>
              <w:jc w:val="center"/>
            </w:pPr>
            <w:r/>
            <w:r>
              <w:rPr>
                <w:rFonts w:ascii="Times New Roman" w:hAnsi="Times New Roman"/>
                <w:b w:val="0"/>
                <w:i w:val="0"/>
                <w:sz w:val="16"/>
              </w:rPr>
              <w:t>-0.8201</w:t>
            </w:r>
          </w:p>
        </w:tc>
        <w:tc>
          <w:tcPr>
            <w:tcW w:type="dxa" w:w="1728"/>
          </w:tcPr>
          <w:p>
            <w:pPr>
              <w:jc w:val="center"/>
            </w:pPr>
            <w:r/>
            <w:r>
              <w:rPr>
                <w:rFonts w:ascii="Times New Roman" w:hAnsi="Times New Roman"/>
                <w:b w:val="0"/>
                <w:i w:val="0"/>
                <w:sz w:val="16"/>
              </w:rPr>
              <w:t>0.6962</w:t>
            </w:r>
          </w:p>
        </w:tc>
      </w:tr>
      <w:tr>
        <w:tc>
          <w:tcPr>
            <w:tcW w:type="dxa" w:w="1728"/>
          </w:tcPr>
          <w:p>
            <w:pPr>
              <w:jc w:val="center"/>
            </w:pPr>
            <w:r/>
            <w:r>
              <w:rPr>
                <w:rFonts w:ascii="Times New Roman" w:hAnsi="Times New Roman"/>
                <w:b w:val="0"/>
                <w:i w:val="0"/>
                <w:sz w:val="16"/>
              </w:rPr>
              <w:t>Firm C</w:t>
            </w:r>
          </w:p>
        </w:tc>
        <w:tc>
          <w:tcPr>
            <w:tcW w:type="dxa" w:w="1728"/>
          </w:tcPr>
          <w:p>
            <w:pPr>
              <w:jc w:val="center"/>
            </w:pPr>
            <w:r/>
            <w:r>
              <w:rPr>
                <w:rFonts w:ascii="Times New Roman" w:hAnsi="Times New Roman"/>
                <w:b w:val="0"/>
                <w:i w:val="0"/>
                <w:sz w:val="16"/>
              </w:rPr>
              <w:t>102</w:t>
            </w:r>
          </w:p>
        </w:tc>
        <w:tc>
          <w:tcPr>
            <w:tcW w:type="dxa" w:w="1728"/>
          </w:tcPr>
          <w:p>
            <w:pPr>
              <w:jc w:val="center"/>
            </w:pPr>
            <w:r/>
            <w:r>
              <w:rPr>
                <w:rFonts w:ascii="Times New Roman" w:hAnsi="Times New Roman"/>
                <w:b w:val="0"/>
                <w:i w:val="0"/>
                <w:sz w:val="16"/>
              </w:rPr>
              <w:t>0.3110</w:t>
            </w:r>
          </w:p>
        </w:tc>
        <w:tc>
          <w:tcPr>
            <w:tcW w:type="dxa" w:w="1728"/>
          </w:tcPr>
          <w:p>
            <w:pPr>
              <w:jc w:val="center"/>
            </w:pPr>
            <w:r/>
            <w:r>
              <w:rPr>
                <w:rFonts w:ascii="Times New Roman" w:hAnsi="Times New Roman"/>
                <w:b w:val="0"/>
                <w:i w:val="0"/>
                <w:sz w:val="16"/>
              </w:rPr>
              <w:t>-0.7672</w:t>
            </w:r>
          </w:p>
        </w:tc>
        <w:tc>
          <w:tcPr>
            <w:tcW w:type="dxa" w:w="1728"/>
          </w:tcPr>
          <w:p>
            <w:pPr>
              <w:jc w:val="center"/>
            </w:pPr>
            <w:r/>
            <w:r>
              <w:rPr>
                <w:rFonts w:ascii="Times New Roman" w:hAnsi="Times New Roman"/>
                <w:b w:val="0"/>
                <w:i w:val="0"/>
                <w:sz w:val="16"/>
              </w:rPr>
              <w:t>0.7896</w:t>
            </w:r>
          </w:p>
        </w:tc>
      </w:tr>
      <w:tr>
        <w:tc>
          <w:tcPr>
            <w:tcW w:type="dxa" w:w="1728"/>
          </w:tcPr>
          <w:p>
            <w:pPr>
              <w:jc w:val="center"/>
            </w:pPr>
            <w:r/>
            <w:r>
              <w:rPr>
                <w:rFonts w:ascii="Times New Roman" w:hAnsi="Times New Roman"/>
                <w:b w:val="0"/>
                <w:i w:val="0"/>
                <w:sz w:val="16"/>
              </w:rPr>
              <w:t>Firm D</w:t>
            </w:r>
          </w:p>
        </w:tc>
        <w:tc>
          <w:tcPr>
            <w:tcW w:type="dxa" w:w="1728"/>
          </w:tcPr>
          <w:p>
            <w:pPr>
              <w:jc w:val="center"/>
            </w:pPr>
            <w:r/>
            <w:r>
              <w:rPr>
                <w:rFonts w:ascii="Times New Roman" w:hAnsi="Times New Roman"/>
                <w:b w:val="0"/>
                <w:i w:val="0"/>
                <w:sz w:val="16"/>
              </w:rPr>
              <w:t>52</w:t>
            </w:r>
          </w:p>
        </w:tc>
        <w:tc>
          <w:tcPr>
            <w:tcW w:type="dxa" w:w="1728"/>
          </w:tcPr>
          <w:p>
            <w:pPr>
              <w:jc w:val="center"/>
            </w:pPr>
            <w:r/>
            <w:r>
              <w:rPr>
                <w:rFonts w:ascii="Times New Roman" w:hAnsi="Times New Roman"/>
                <w:b w:val="0"/>
                <w:i w:val="0"/>
                <w:sz w:val="16"/>
              </w:rPr>
              <w:t>0.2406</w:t>
            </w:r>
          </w:p>
        </w:tc>
        <w:tc>
          <w:tcPr>
            <w:tcW w:type="dxa" w:w="1728"/>
          </w:tcPr>
          <w:p>
            <w:pPr>
              <w:jc w:val="center"/>
            </w:pPr>
            <w:r/>
            <w:r>
              <w:rPr>
                <w:rFonts w:ascii="Times New Roman" w:hAnsi="Times New Roman"/>
                <w:b w:val="0"/>
                <w:i w:val="0"/>
                <w:sz w:val="16"/>
              </w:rPr>
              <w:t>-0.7125</w:t>
            </w:r>
          </w:p>
        </w:tc>
        <w:tc>
          <w:tcPr>
            <w:tcW w:type="dxa" w:w="1728"/>
          </w:tcPr>
          <w:p>
            <w:pPr>
              <w:jc w:val="center"/>
            </w:pPr>
            <w:r/>
            <w:r>
              <w:rPr>
                <w:rFonts w:ascii="Times New Roman" w:hAnsi="Times New Roman"/>
                <w:b w:val="0"/>
                <w:i w:val="0"/>
                <w:sz w:val="16"/>
              </w:rPr>
              <w:t>0.7608</w:t>
            </w:r>
          </w:p>
        </w:tc>
      </w:tr>
    </w:tbl>
    <w:p/>
    <w:p>
      <w:pPr>
        <w:spacing w:after="120"/>
      </w:pPr>
      <w:r>
        <w:rPr>
          <w:rFonts w:ascii="Times New Roman" w:hAnsi="Times New Roman"/>
          <w:b w:val="0"/>
          <w:i w:val="0"/>
          <w:sz w:val="20"/>
        </w:rPr>
        <w:t>(Source: Script 38 per-firm summary; reverse-anchor score is sign-flipped so that higher values indicate deeper into the reference left tail = less replication-dominated relative to the non-Big-4 reference.)</w:t>
      </w:r>
    </w:p>
    <w:p>
      <w:pPr>
        <w:spacing w:after="120"/>
      </w:pPr>
      <w:r>
        <w:rPr>
          <w:rFonts w:ascii="Times New Roman" w:hAnsi="Times New Roman"/>
          <w:b w:val="0"/>
          <w:i w:val="0"/>
          <w:sz w:val="20"/>
        </w:rPr>
        <w:t>The three scores agree on placing Firm A as the most replication-dominated and the three non-Firm-A firms as less replication-dominated. The K=3 posterior P(C1) and the box-rule less-replication-dominated rate (Score 1 and Score 3) place Firm C at the least-replication-dominated end of Big-4; the reverse-anchor cosine percentile (Score 2) ranks Firm D fractionally above Firm C. This residual within-Big-4-non-A disagreement is a design feature of the reverse-anchor metric: Score 2 measures only the marginal cosine percentile under the non-Big-4 reference, so a firm with a slightly higher cosine but a markedly different dHash distribution (Firm D vs Firm C) can score higher on Score 2 while scoring lower on Scores 1 and 3, both of which use both descriptors.</w:t>
      </w:r>
    </w:p>
    <w:p>
      <w:pPr>
        <w:spacing w:after="120"/>
      </w:pPr>
      <w:r>
        <w:rPr>
          <w:rFonts w:ascii="Times New Roman" w:hAnsi="Times New Roman"/>
          <w:b w:val="0"/>
          <w:i w:val="0"/>
          <w:sz w:val="20"/>
        </w:rPr>
        <w:t xml:space="preserve">Table XI. Per-signature Cohen </w:t>
      </w:r>
      <w:r>
        <w:rPr>
          <w:rFonts w:ascii="Times New Roman" w:hAnsi="Times New Roman"/>
          <w:b w:val="0"/>
          <w:i w:val="0"/>
          <w:sz w:val="20"/>
        </w:rPr>
        <w:t>κ</w:t>
      </w:r>
      <w:r>
        <w:rPr>
          <w:rFonts w:ascii="Times New Roman" w:hAnsi="Times New Roman"/>
          <w:b w:val="0"/>
          <w:i w:val="0"/>
          <w:sz w:val="20"/>
        </w:rPr>
        <w:t xml:space="preserve"> (binary collapse, replication-dominated vs less-replication-dominated), </w:t>
      </w:r>
      <w:r>
        <w:rPr>
          <w:rFonts w:ascii="Times New Roman" w:hAnsi="Times New Roman"/>
          <w:b w:val="0"/>
          <w:i w:val="0"/>
          <w:sz w:val="20"/>
        </w:rPr>
        <w:t>n = 150,442</w:t>
      </w:r>
      <w:r>
        <w:rPr>
          <w:rFonts w:ascii="Times New Roman" w:hAnsi="Times New Roman"/>
          <w:b w:val="0"/>
          <w:i w:val="0"/>
          <w:sz w:val="20"/>
        </w:rPr>
        <w:t xml:space="preserve"> Big-4 signatures.</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Pair</w:t>
            </w:r>
          </w:p>
        </w:tc>
        <w:tc>
          <w:tcPr>
            <w:tcW w:type="dxa" w:w="4320"/>
          </w:tcPr>
          <w:p>
            <w:pPr>
              <w:jc w:val="center"/>
            </w:pPr>
            <w:r/>
            <w:r>
              <w:rPr>
                <w:rFonts w:ascii="Times New Roman" w:hAnsi="Times New Roman"/>
                <w:b/>
                <w:i w:val="0"/>
                <w:sz w:val="16"/>
              </w:rPr>
              <w:t xml:space="preserve">Cohen </w:t>
            </w:r>
            <w:r>
              <w:rPr>
                <w:rFonts w:ascii="Times New Roman" w:hAnsi="Times New Roman"/>
                <w:b/>
                <w:i w:val="0"/>
                <w:sz w:val="16"/>
              </w:rPr>
              <w:t>κ</w:t>
            </w:r>
          </w:p>
        </w:tc>
      </w:tr>
      <w:tr>
        <w:tc>
          <w:tcPr>
            <w:tcW w:type="dxa" w:w="432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vs per-CPA K=3 hard label</w:t>
            </w:r>
          </w:p>
        </w:tc>
        <w:tc>
          <w:tcPr>
            <w:tcW w:type="dxa" w:w="4320"/>
          </w:tcPr>
          <w:p>
            <w:pPr>
              <w:jc w:val="center"/>
            </w:pPr>
            <w:r/>
            <w:r>
              <w:rPr>
                <w:rFonts w:ascii="Times New Roman" w:hAnsi="Times New Roman"/>
                <w:b w:val="0"/>
                <w:i w:val="0"/>
                <w:sz w:val="16"/>
              </w:rPr>
              <w:t>0.662</w:t>
            </w:r>
          </w:p>
        </w:tc>
      </w:tr>
      <w:tr>
        <w:tc>
          <w:tcPr>
            <w:tcW w:type="dxa" w:w="4320"/>
          </w:tcPr>
          <w:p>
            <w:pPr>
              <w:jc w:val="center"/>
            </w:pPr>
            <w:r/>
            <w:r>
              <w:rPr>
                <w:rFonts w:ascii="Times New Roman" w:hAnsi="Times New Roman"/>
                <w:b w:val="0"/>
                <w:i w:val="0"/>
                <w:sz w:val="16"/>
              </w:rPr>
              <w:t>deployed binary high-confidence box rule vs per-signature K=3 hard label</w:t>
            </w:r>
          </w:p>
        </w:tc>
        <w:tc>
          <w:tcPr>
            <w:tcW w:type="dxa" w:w="4320"/>
          </w:tcPr>
          <w:p>
            <w:pPr>
              <w:jc w:val="center"/>
            </w:pPr>
            <w:r/>
            <w:r>
              <w:rPr>
                <w:rFonts w:ascii="Times New Roman" w:hAnsi="Times New Roman"/>
                <w:b w:val="0"/>
                <w:i w:val="0"/>
                <w:sz w:val="16"/>
              </w:rPr>
              <w:t>0.559</w:t>
            </w:r>
          </w:p>
        </w:tc>
      </w:tr>
      <w:tr>
        <w:tc>
          <w:tcPr>
            <w:tcW w:type="dxa" w:w="4320"/>
          </w:tcPr>
          <w:p>
            <w:pPr>
              <w:jc w:val="center"/>
            </w:pPr>
            <w:r/>
            <w:r>
              <w:rPr>
                <w:rFonts w:ascii="Times New Roman" w:hAnsi="Times New Roman"/>
                <w:b w:val="0"/>
                <w:i w:val="0"/>
                <w:sz w:val="16"/>
              </w:rPr>
              <w:t>Per-CPA K=3 hard label vs per-signature K=3 hard label</w:t>
            </w:r>
          </w:p>
        </w:tc>
        <w:tc>
          <w:tcPr>
            <w:tcW w:type="dxa" w:w="4320"/>
          </w:tcPr>
          <w:p>
            <w:pPr>
              <w:jc w:val="center"/>
            </w:pPr>
            <w:r/>
            <w:r>
              <w:rPr>
                <w:rFonts w:ascii="Times New Roman" w:hAnsi="Times New Roman"/>
                <w:b w:val="0"/>
                <w:i w:val="0"/>
                <w:sz w:val="16"/>
              </w:rPr>
              <w:t>0.870</w:t>
            </w:r>
          </w:p>
        </w:tc>
      </w:tr>
    </w:tbl>
    <w:p/>
    <w:p>
      <w:pPr>
        <w:spacing w:after="120"/>
      </w:pPr>
      <w:r>
        <w:rPr>
          <w:rFonts w:ascii="Times New Roman" w:hAnsi="Times New Roman"/>
          <w:b w:val="0"/>
          <w:i w:val="0"/>
          <w:sz w:val="20"/>
        </w:rPr>
        <w:t>(Source: Script 39.) Per-signature K=3 components (</w:t>
      </w:r>
      <w:r>
        <w:rPr>
          <w:rFonts w:ascii="Times New Roman" w:hAnsi="Times New Roman"/>
          <w:b w:val="0"/>
          <w:i w:val="0"/>
          <w:sz w:val="20"/>
        </w:rPr>
        <w:t>n = 150,442</w:t>
      </w:r>
      <w:r>
        <w:rPr>
          <w:rFonts w:ascii="Times New Roman" w:hAnsi="Times New Roman"/>
          <w:b w:val="0"/>
          <w:i w:val="0"/>
          <w:sz w:val="20"/>
        </w:rPr>
        <w:t xml:space="preserve">) sorted by ascending cosine: </w:t>
      </w:r>
      <w:r>
        <w:rPr>
          <w:rFonts w:ascii="Times New Roman" w:hAnsi="Times New Roman"/>
          <w:b w:val="0"/>
          <w:i w:val="0"/>
          <w:sz w:val="20"/>
        </w:rPr>
        <w:t>(0.928, 9.75, 0.146)</w:t>
      </w:r>
      <w:r>
        <w:rPr>
          <w:rFonts w:ascii="Times New Roman" w:hAnsi="Times New Roman"/>
          <w:b w:val="0"/>
          <w:i w:val="0"/>
          <w:sz w:val="20"/>
        </w:rPr>
        <w:t xml:space="preserve"> / </w:t>
      </w:r>
      <w:r>
        <w:rPr>
          <w:rFonts w:ascii="Times New Roman" w:hAnsi="Times New Roman"/>
          <w:b w:val="0"/>
          <w:i w:val="0"/>
          <w:sz w:val="20"/>
        </w:rPr>
        <w:t>(0.963, 6.04, 0.582)</w:t>
      </w:r>
      <w:r>
        <w:rPr>
          <w:rFonts w:ascii="Times New Roman" w:hAnsi="Times New Roman"/>
          <w:b w:val="0"/>
          <w:i w:val="0"/>
          <w:sz w:val="20"/>
        </w:rPr>
        <w:t xml:space="preserve"> / </w:t>
      </w:r>
      <w:r>
        <w:rPr>
          <w:rFonts w:ascii="Times New Roman" w:hAnsi="Times New Roman"/>
          <w:b w:val="0"/>
          <w:i w:val="0"/>
          <w:sz w:val="20"/>
        </w:rPr>
        <w:t>(0.989, 1.27, 0.272)</w:t>
      </w:r>
      <w:r>
        <w:rPr>
          <w:rFonts w:ascii="Times New Roman" w:hAnsi="Times New Roman"/>
          <w:b w:val="0"/>
          <w:i w:val="0"/>
          <w:sz w:val="20"/>
        </w:rPr>
        <w:t xml:space="preserve">, an absolute cosine drift of </w:t>
      </w:r>
      <w:r>
        <w:rPr>
          <w:rFonts w:ascii="Times New Roman" w:hAnsi="Times New Roman"/>
          <w:b w:val="0"/>
          <w:i w:val="0"/>
          <w:sz w:val="20"/>
        </w:rPr>
        <w:t>0.018</w:t>
      </w:r>
      <w:r>
        <w:rPr>
          <w:rFonts w:ascii="Times New Roman" w:hAnsi="Times New Roman"/>
          <w:b w:val="0"/>
          <w:i w:val="0"/>
          <w:sz w:val="20"/>
        </w:rPr>
        <w:t xml:space="preserve"> in C1 and </w:t>
      </w:r>
      <w:r>
        <w:rPr>
          <w:rFonts w:ascii="Times New Roman" w:hAnsi="Times New Roman"/>
          <w:b w:val="0"/>
          <w:i w:val="0"/>
          <w:sz w:val="20"/>
        </w:rPr>
        <w:t>0.006</w:t>
      </w:r>
      <w:r>
        <w:rPr>
          <w:rFonts w:ascii="Times New Roman" w:hAnsi="Times New Roman"/>
          <w:b w:val="0"/>
          <w:i w:val="0"/>
          <w:sz w:val="20"/>
        </w:rPr>
        <w:t xml:space="preserve"> in C3 relative to the per-CPA fit. These convergence checks cover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the five-way classifier's moderate-confidence band (</w:t>
      </w:r>
      <w:r>
        <w:rPr>
          <w:rFonts w:ascii="Times New Roman" w:hAnsi="Times New Roman"/>
          <w:b w:val="0"/>
          <w:i w:val="0"/>
          <w:sz w:val="20"/>
        </w:rPr>
        <w:t>5 &lt; dHash ≤ 15</w:t>
      </w:r>
      <w:r>
        <w:rPr>
          <w:rFonts w:ascii="Times New Roman" w:hAnsi="Times New Roman"/>
          <w:b w:val="0"/>
          <w:i w:val="0"/>
          <w:sz w:val="20"/>
        </w:rPr>
        <w:t>) retains its prior calibration and capture-rate evidence (supplementary materials; cross-referenced in §IV-J).</w:t>
      </w:r>
    </w:p>
    <w:p>
      <w:pPr>
        <w:pStyle w:val="Heading2"/>
      </w:pPr>
      <w:r>
        <w:rPr>
          <w:color w:val="000000"/>
        </w:rPr>
        <w:t>G. Leave-One-Firm-Out Reproducibility</w:t>
      </w:r>
    </w:p>
    <w:p>
      <w:pPr>
        <w:spacing w:after="120"/>
      </w:pPr>
      <w:r>
        <w:rPr>
          <w:rFonts w:ascii="Times New Roman" w:hAnsi="Times New Roman"/>
          <w:b w:val="0"/>
          <w:i w:val="0"/>
          <w:sz w:val="20"/>
        </w:rPr>
        <w:t>This section reports the firm-level cross-validation evidence motivating §III-J's "K=3 descriptive, not operational" framing.</w:t>
      </w:r>
    </w:p>
    <w:p>
      <w:pPr>
        <w:spacing w:after="120"/>
      </w:pPr>
      <w:r>
        <w:rPr>
          <w:rFonts w:ascii="Times New Roman" w:hAnsi="Times New Roman"/>
          <w:b w:val="0"/>
          <w:i w:val="0"/>
          <w:sz w:val="20"/>
        </w:rPr>
        <w:t>Table XII. K=2 leave-one-firm-out across the four Big-4 folds.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Held-out firm</w:t>
            </w:r>
          </w:p>
        </w:tc>
        <w:tc>
          <w:tcPr>
            <w:tcW w:type="dxa" w:w="1728"/>
          </w:tcPr>
          <w:p>
            <w:pPr>
              <w:jc w:val="center"/>
            </w:pPr>
            <w:r/>
            <w:r>
              <w:rPr>
                <w:rFonts w:ascii="Times New Roman" w:hAnsi="Times New Roman"/>
                <w:b/>
                <w:i w:val="0"/>
                <w:sz w:val="16"/>
              </w:rPr>
              <w:t>n</w:t>
            </w:r>
            <w:r>
              <w:rPr>
                <w:rFonts w:ascii="Times New Roman" w:hAnsi="Times New Roman"/>
                <w:b/>
                <w:i w:val="0"/>
                <w:sz w:val="16"/>
                <w:vertAlign w:val="subscript"/>
              </w:rPr>
              <w:t>train</w:t>
            </w:r>
          </w:p>
        </w:tc>
        <w:tc>
          <w:tcPr>
            <w:tcW w:type="dxa" w:w="1728"/>
          </w:tcPr>
          <w:p>
            <w:pPr>
              <w:jc w:val="center"/>
            </w:pPr>
            <w:r/>
            <w:r>
              <w:rPr>
                <w:rFonts w:ascii="Times New Roman" w:hAnsi="Times New Roman"/>
                <w:b/>
                <w:i w:val="0"/>
                <w:sz w:val="16"/>
              </w:rPr>
              <w:t>n</w:t>
            </w:r>
            <w:r>
              <w:rPr>
                <w:rFonts w:ascii="Times New Roman" w:hAnsi="Times New Roman"/>
                <w:b/>
                <w:i w:val="0"/>
                <w:sz w:val="16"/>
                <w:vertAlign w:val="subscript"/>
              </w:rPr>
              <w:t>held</w:t>
            </w:r>
          </w:p>
        </w:tc>
        <w:tc>
          <w:tcPr>
            <w:tcW w:type="dxa" w:w="1728"/>
          </w:tcPr>
          <w:p>
            <w:pPr>
              <w:jc w:val="center"/>
            </w:pPr>
            <w:r/>
            <w:r>
              <w:rPr>
                <w:rFonts w:ascii="Times New Roman" w:hAnsi="Times New Roman"/>
                <w:b/>
                <w:i w:val="0"/>
                <w:sz w:val="16"/>
              </w:rPr>
              <w:t>Fold rule (cos cut, dHash cut)</w:t>
            </w:r>
          </w:p>
        </w:tc>
        <w:tc>
          <w:tcPr>
            <w:tcW w:type="dxa" w:w="1728"/>
          </w:tcPr>
          <w:p>
            <w:pPr>
              <w:jc w:val="center"/>
            </w:pPr>
            <w:r/>
            <w:r>
              <w:rPr>
                <w:rFonts w:ascii="Times New Roman" w:hAnsi="Times New Roman"/>
                <w:b/>
                <w:i w:val="0"/>
                <w:sz w:val="16"/>
              </w:rPr>
              <w:t>Held-out classified as templated by fold rule</w:t>
            </w:r>
          </w:p>
        </w:tc>
      </w:tr>
      <w:tr>
        <w:tc>
          <w:tcPr>
            <w:tcW w:type="dxa" w:w="1728"/>
          </w:tcPr>
          <w:p>
            <w:pPr>
              <w:jc w:val="center"/>
            </w:pPr>
            <w:r/>
            <w:r>
              <w:rPr>
                <w:rFonts w:ascii="Times New Roman" w:hAnsi="Times New Roman"/>
                <w:b w:val="0"/>
                <w:i w:val="0"/>
                <w:sz w:val="16"/>
              </w:rPr>
              <w:t>Firm A</w:t>
            </w:r>
          </w:p>
        </w:tc>
        <w:tc>
          <w:tcPr>
            <w:tcW w:type="dxa" w:w="1728"/>
          </w:tcPr>
          <w:p>
            <w:pPr>
              <w:jc w:val="center"/>
            </w:pPr>
            <w:r/>
            <w:r>
              <w:rPr>
                <w:rFonts w:ascii="Times New Roman" w:hAnsi="Times New Roman"/>
                <w:b w:val="0"/>
                <w:i w:val="0"/>
                <w:sz w:val="16"/>
              </w:rPr>
              <w:t>266</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0.9380</w:t>
            </w:r>
            <w:r>
              <w:rPr>
                <w:rFonts w:ascii="Times New Roman" w:hAnsi="Times New Roman"/>
                <w:b w:val="0"/>
                <w:i w:val="0"/>
                <w:sz w:val="16"/>
              </w:rPr>
              <w:t xml:space="preserve"> AND dHash </w:t>
            </w:r>
            <w:r>
              <w:rPr>
                <w:rFonts w:ascii="Times New Roman" w:hAnsi="Times New Roman"/>
                <w:b w:val="0"/>
                <w:i w:val="0"/>
                <w:sz w:val="16"/>
              </w:rPr>
              <w:t>≤ 8.79</w:t>
            </w:r>
          </w:p>
        </w:tc>
        <w:tc>
          <w:tcPr>
            <w:tcW w:type="dxa" w:w="1728"/>
          </w:tcPr>
          <w:p>
            <w:pPr>
              <w:jc w:val="center"/>
            </w:pPr>
            <w:r/>
            <w:r>
              <w:rPr>
                <w:rFonts w:ascii="Times New Roman" w:hAnsi="Times New Roman"/>
                <w:b w:val="0"/>
                <w:i w:val="0"/>
                <w:sz w:val="16"/>
              </w:rPr>
              <w:t>171 / 171 = 100.00%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[97.80%, 100.00%]</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B</w:t>
            </w:r>
          </w:p>
        </w:tc>
        <w:tc>
          <w:tcPr>
            <w:tcW w:type="dxa" w:w="1728"/>
          </w:tcPr>
          <w:p>
            <w:pPr>
              <w:jc w:val="center"/>
            </w:pPr>
            <w:r/>
            <w:r>
              <w:rPr>
                <w:rFonts w:ascii="Times New Roman" w:hAnsi="Times New Roman"/>
                <w:b w:val="0"/>
                <w:i w:val="0"/>
                <w:sz w:val="16"/>
              </w:rPr>
              <w:t>325</w:t>
            </w:r>
          </w:p>
        </w:tc>
        <w:tc>
          <w:tcPr>
            <w:tcW w:type="dxa" w:w="1728"/>
          </w:tcPr>
          <w:p>
            <w:pPr>
              <w:jc w:val="center"/>
            </w:pPr>
            <w:r/>
            <w:r>
              <w:rPr>
                <w:rFonts w:ascii="Times New Roman" w:hAnsi="Times New Roman"/>
                <w:b w:val="0"/>
                <w:i w:val="0"/>
                <w:sz w:val="16"/>
              </w:rPr>
              <w:t>112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0.9744</w:t>
            </w:r>
            <w:r>
              <w:rPr>
                <w:rFonts w:ascii="Times New Roman" w:hAnsi="Times New Roman"/>
                <w:b w:val="0"/>
                <w:i w:val="0"/>
                <w:sz w:val="16"/>
              </w:rPr>
              <w:t xml:space="preserve"> AND dHash </w:t>
            </w:r>
            <w:r>
              <w:rPr>
                <w:rFonts w:ascii="Times New Roman" w:hAnsi="Times New Roman"/>
                <w:b w:val="0"/>
                <w:i w:val="0"/>
                <w:sz w:val="16"/>
              </w:rPr>
              <w:t>≤ 3.98</w:t>
            </w:r>
          </w:p>
        </w:tc>
        <w:tc>
          <w:tcPr>
            <w:tcW w:type="dxa" w:w="1728"/>
          </w:tcPr>
          <w:p>
            <w:pPr>
              <w:jc w:val="center"/>
            </w:pPr>
            <w:r/>
            <w:r>
              <w:rPr>
                <w:rFonts w:ascii="Times New Roman" w:hAnsi="Times New Roman"/>
                <w:b w:val="0"/>
                <w:i w:val="0"/>
                <w:sz w:val="16"/>
              </w:rPr>
              <w:t>0 / 112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3.32%]</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C</w:t>
            </w:r>
          </w:p>
        </w:tc>
        <w:tc>
          <w:tcPr>
            <w:tcW w:type="dxa" w:w="1728"/>
          </w:tcPr>
          <w:p>
            <w:pPr>
              <w:jc w:val="center"/>
            </w:pPr>
            <w:r/>
            <w:r>
              <w:rPr>
                <w:rFonts w:ascii="Times New Roman" w:hAnsi="Times New Roman"/>
                <w:b w:val="0"/>
                <w:i w:val="0"/>
                <w:sz w:val="16"/>
              </w:rPr>
              <w:t>335</w:t>
            </w:r>
          </w:p>
        </w:tc>
        <w:tc>
          <w:tcPr>
            <w:tcW w:type="dxa" w:w="1728"/>
          </w:tcPr>
          <w:p>
            <w:pPr>
              <w:jc w:val="center"/>
            </w:pPr>
            <w:r/>
            <w:r>
              <w:rPr>
                <w:rFonts w:ascii="Times New Roman" w:hAnsi="Times New Roman"/>
                <w:b w:val="0"/>
                <w:i w:val="0"/>
                <w:sz w:val="16"/>
              </w:rPr>
              <w:t>102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0.9752</w:t>
            </w:r>
            <w:r>
              <w:rPr>
                <w:rFonts w:ascii="Times New Roman" w:hAnsi="Times New Roman"/>
                <w:b w:val="0"/>
                <w:i w:val="0"/>
                <w:sz w:val="16"/>
              </w:rPr>
              <w:t xml:space="preserve"> AND dHash </w:t>
            </w:r>
            <w:r>
              <w:rPr>
                <w:rFonts w:ascii="Times New Roman" w:hAnsi="Times New Roman"/>
                <w:b w:val="0"/>
                <w:i w:val="0"/>
                <w:sz w:val="16"/>
              </w:rPr>
              <w:t>≤ 3.75</w:t>
            </w:r>
          </w:p>
        </w:tc>
        <w:tc>
          <w:tcPr>
            <w:tcW w:type="dxa" w:w="1728"/>
          </w:tcPr>
          <w:p>
            <w:pPr>
              <w:jc w:val="center"/>
            </w:pPr>
            <w:r/>
            <w:r>
              <w:rPr>
                <w:rFonts w:ascii="Times New Roman" w:hAnsi="Times New Roman"/>
                <w:b w:val="0"/>
                <w:i w:val="0"/>
                <w:sz w:val="16"/>
              </w:rPr>
              <w:t>0 / 102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3.63%]</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D</w:t>
            </w:r>
          </w:p>
        </w:tc>
        <w:tc>
          <w:tcPr>
            <w:tcW w:type="dxa" w:w="1728"/>
          </w:tcPr>
          <w:p>
            <w:pPr>
              <w:jc w:val="center"/>
            </w:pPr>
            <w:r/>
            <w:r>
              <w:rPr>
                <w:rFonts w:ascii="Times New Roman" w:hAnsi="Times New Roman"/>
                <w:b w:val="0"/>
                <w:i w:val="0"/>
                <w:sz w:val="16"/>
              </w:rPr>
              <w:t>385</w:t>
            </w:r>
          </w:p>
        </w:tc>
        <w:tc>
          <w:tcPr>
            <w:tcW w:type="dxa" w:w="1728"/>
          </w:tcPr>
          <w:p>
            <w:pPr>
              <w:jc w:val="center"/>
            </w:pPr>
            <w:r/>
            <w:r>
              <w:rPr>
                <w:rFonts w:ascii="Times New Roman" w:hAnsi="Times New Roman"/>
                <w:b w:val="0"/>
                <w:i w:val="0"/>
                <w:sz w:val="16"/>
              </w:rPr>
              <w:t>52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0.9756</w:t>
            </w:r>
            <w:r>
              <w:rPr>
                <w:rFonts w:ascii="Times New Roman" w:hAnsi="Times New Roman"/>
                <w:b w:val="0"/>
                <w:i w:val="0"/>
                <w:sz w:val="16"/>
              </w:rPr>
              <w:t xml:space="preserve"> AND dHash </w:t>
            </w:r>
            <w:r>
              <w:rPr>
                <w:rFonts w:ascii="Times New Roman" w:hAnsi="Times New Roman"/>
                <w:b w:val="0"/>
                <w:i w:val="0"/>
                <w:sz w:val="16"/>
              </w:rPr>
              <w:t>≤ 3.74</w:t>
            </w:r>
          </w:p>
        </w:tc>
        <w:tc>
          <w:tcPr>
            <w:tcW w:type="dxa" w:w="1728"/>
          </w:tcPr>
          <w:p>
            <w:pPr>
              <w:jc w:val="center"/>
            </w:pPr>
            <w:r/>
            <w:r>
              <w:rPr>
                <w:rFonts w:ascii="Times New Roman" w:hAnsi="Times New Roman"/>
                <w:b w:val="0"/>
                <w:i w:val="0"/>
                <w:sz w:val="16"/>
              </w:rPr>
              <w:t>0 / 52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6.88%]</w:t>
            </w:r>
            <w:r>
              <w:rPr>
                <w:rFonts w:ascii="Times New Roman" w:hAnsi="Times New Roman"/>
                <w:b w:val="0"/>
                <w:i w:val="0"/>
                <w:sz w:val="16"/>
              </w:rPr>
              <w:t>)</w:t>
            </w:r>
          </w:p>
        </w:tc>
      </w:tr>
    </w:tbl>
    <w:p/>
    <w:p>
      <w:pPr>
        <w:spacing w:after="120"/>
      </w:pPr>
      <w:r>
        <w:rPr>
          <w:rFonts w:ascii="Times New Roman" w:hAnsi="Times New Roman"/>
          <w:b w:val="0"/>
          <w:i w:val="0"/>
          <w:sz w:val="20"/>
        </w:rPr>
        <w:t xml:space="preserve">(Source: Script 36.) Across-fold cosine crossing: pairwise range </w:t>
      </w:r>
      <w:r>
        <w:rPr>
          <w:rFonts w:ascii="Times New Roman" w:hAnsi="Times New Roman"/>
          <w:b w:val="0"/>
          <w:i w:val="0"/>
          <w:sz w:val="20"/>
        </w:rPr>
        <w:t>[0.9380, 0.9756]</w:t>
      </w:r>
      <w:r>
        <w:rPr>
          <w:rFonts w:ascii="Times New Roman" w:hAnsi="Times New Roman"/>
          <w:b w:val="0"/>
          <w:i w:val="0"/>
          <w:sz w:val="20"/>
        </w:rPr>
        <w:t xml:space="preserve">, range = </w:t>
      </w:r>
      <w:r>
        <w:rPr>
          <w:rFonts w:ascii="Times New Roman" w:hAnsi="Times New Roman"/>
          <w:b w:val="0"/>
          <w:i w:val="0"/>
          <w:sz w:val="20"/>
        </w:rPr>
        <w:t>0.0376</w:t>
      </w:r>
      <w:r>
        <w:rPr>
          <w:rFonts w:ascii="Times New Roman" w:hAnsi="Times New Roman"/>
          <w:b w:val="0"/>
          <w:i w:val="0"/>
          <w:sz w:val="20"/>
        </w:rPr>
        <w:t xml:space="preserve">; max absolute deviation from the across-fold mean is </w:t>
      </w:r>
      <w:r>
        <w:rPr>
          <w:rFonts w:ascii="Times New Roman" w:hAnsi="Times New Roman"/>
          <w:b w:val="0"/>
          <w:i w:val="0"/>
          <w:sz w:val="20"/>
        </w:rPr>
        <w:t>0.028</w:t>
      </w:r>
      <w:r>
        <w:rPr>
          <w:rFonts w:ascii="Times New Roman" w:hAnsi="Times New Roman"/>
          <w:b w:val="0"/>
          <w:i w:val="0"/>
          <w:sz w:val="20"/>
        </w:rPr>
        <w:t xml:space="preserve">. This exceeds the report's </w:t>
      </w:r>
      <w:r>
        <w:rPr>
          <w:rFonts w:ascii="Times New Roman" w:hAnsi="Times New Roman"/>
          <w:b w:val="0"/>
          <w:i w:val="0"/>
          <w:sz w:val="20"/>
        </w:rPr>
        <w:t>0.005</w:t>
      </w:r>
      <w:r>
        <w:rPr>
          <w:rFonts w:ascii="Times New Roman" w:hAnsi="Times New Roman"/>
          <w:b w:val="0"/>
          <w:i w:val="0"/>
          <w:sz w:val="20"/>
        </w:rPr>
        <w:t xml:space="preserve"> across-fold stability tolerance by </w:t>
      </w:r>
      <w:r>
        <w:rPr>
          <w:rFonts w:ascii="Times New Roman" w:hAnsi="Times New Roman"/>
          <w:b w:val="0"/>
          <w:i w:val="0"/>
          <w:sz w:val="20"/>
        </w:rPr>
        <w:t>5.6×</w:t>
      </w:r>
      <w:r>
        <w:rPr>
          <w:rFonts w:ascii="Times New Roman" w:hAnsi="Times New Roman"/>
          <w:b w:val="0"/>
          <w:i w:val="0"/>
          <w:sz w:val="20"/>
        </w:rPr>
        <w:t xml:space="preserve"> and is much larger than the full-Big-4 bootstrap CI half-width of </w:t>
      </w:r>
      <w:r>
        <w:rPr>
          <w:rFonts w:ascii="Times New Roman" w:hAnsi="Times New Roman"/>
          <w:b w:val="0"/>
          <w:i w:val="0"/>
          <w:sz w:val="20"/>
        </w:rPr>
        <w:t>0.0015</w:t>
      </w:r>
      <w:r>
        <w:rPr>
          <w:rFonts w:ascii="Times New Roman" w:hAnsi="Times New Roman"/>
          <w:b w:val="0"/>
          <w:i w:val="0"/>
          <w:sz w:val="20"/>
        </w:rPr>
        <w:t xml:space="preserve">. Together with the all-or-nothing held-out classification pattern (Firm A held out </w:t>
      </w:r>
      <w:r>
        <w:rPr>
          <w:rFonts w:ascii="Times New Roman" w:hAnsi="Times New Roman"/>
          <w:b w:val="0"/>
          <w:i w:val="0"/>
          <w:sz w:val="20"/>
        </w:rPr>
        <w:t>⇒</w:t>
      </w:r>
      <w:r>
        <w:rPr>
          <w:rFonts w:ascii="Times New Roman" w:hAnsi="Times New Roman"/>
          <w:b w:val="0"/>
          <w:i w:val="0"/>
          <w:sz w:val="20"/>
        </w:rPr>
        <w:t xml:space="preserve"> all held-out CPAs templated; any non-Firm-A firm held out </w:t>
      </w:r>
      <w:r>
        <w:rPr>
          <w:rFonts w:ascii="Times New Roman" w:hAnsi="Times New Roman"/>
          <w:b w:val="0"/>
          <w:i w:val="0"/>
          <w:sz w:val="20"/>
        </w:rPr>
        <w:t>⇒</w:t>
      </w:r>
      <w:r>
        <w:rPr>
          <w:rFonts w:ascii="Times New Roman" w:hAnsi="Times New Roman"/>
          <w:b w:val="0"/>
          <w:i w:val="0"/>
          <w:sz w:val="20"/>
        </w:rPr>
        <w:t xml:space="preserve"> none templated), this indicates the K=2 boundary is essentially a Firm-A-vs-others separator rather than a within-Big-4 mechanism boundary.</w:t>
      </w:r>
    </w:p>
    <w:p>
      <w:pPr>
        <w:spacing w:after="120"/>
      </w:pPr>
      <w:r>
        <w:rPr>
          <w:rFonts w:ascii="Times New Roman" w:hAnsi="Times New Roman"/>
          <w:b w:val="0"/>
          <w:i w:val="0"/>
          <w:sz w:val="20"/>
        </w:rPr>
        <w:t>Table XIII. K=3 leave-one-firm-out: C1 component shape and held-out membership.</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Held-out firm</w:t>
            </w:r>
          </w:p>
        </w:tc>
        <w:tc>
          <w:tcPr>
            <w:tcW w:type="dxa" w:w="1234"/>
          </w:tcPr>
          <w:p>
            <w:pPr>
              <w:jc w:val="center"/>
            </w:pPr>
            <w:r/>
            <w:r>
              <w:rPr>
                <w:rFonts w:ascii="Times New Roman" w:hAnsi="Times New Roman"/>
                <w:b/>
                <w:i w:val="0"/>
                <w:sz w:val="16"/>
              </w:rPr>
              <w:t>C1 cos (fit)</w:t>
            </w:r>
          </w:p>
        </w:tc>
        <w:tc>
          <w:tcPr>
            <w:tcW w:type="dxa" w:w="1234"/>
          </w:tcPr>
          <w:p>
            <w:pPr>
              <w:jc w:val="center"/>
            </w:pPr>
            <w:r/>
            <w:r>
              <w:rPr>
                <w:rFonts w:ascii="Times New Roman" w:hAnsi="Times New Roman"/>
                <w:b/>
                <w:i w:val="0"/>
                <w:sz w:val="16"/>
              </w:rPr>
              <w:t>C1 dHash (fit)</w:t>
            </w:r>
          </w:p>
        </w:tc>
        <w:tc>
          <w:tcPr>
            <w:tcW w:type="dxa" w:w="1234"/>
          </w:tcPr>
          <w:p>
            <w:pPr>
              <w:jc w:val="center"/>
            </w:pPr>
            <w:r/>
            <w:r>
              <w:rPr>
                <w:rFonts w:ascii="Times New Roman" w:hAnsi="Times New Roman"/>
                <w:b/>
                <w:i w:val="0"/>
                <w:sz w:val="16"/>
              </w:rPr>
              <w:t>C1 weight (fit)</w:t>
            </w:r>
          </w:p>
        </w:tc>
        <w:tc>
          <w:tcPr>
            <w:tcW w:type="dxa" w:w="1234"/>
          </w:tcPr>
          <w:p>
            <w:pPr>
              <w:jc w:val="center"/>
            </w:pPr>
            <w:r/>
            <w:r>
              <w:rPr>
                <w:rFonts w:ascii="Times New Roman" w:hAnsi="Times New Roman"/>
                <w:b/>
                <w:i w:val="0"/>
                <w:sz w:val="16"/>
              </w:rPr>
              <w:t>Held-out C1 hard-label rate</w:t>
            </w:r>
          </w:p>
        </w:tc>
        <w:tc>
          <w:tcPr>
            <w:tcW w:type="dxa" w:w="1234"/>
          </w:tcPr>
          <w:p>
            <w:pPr>
              <w:jc w:val="center"/>
            </w:pPr>
            <w:r/>
            <w:r>
              <w:rPr>
                <w:rFonts w:ascii="Times New Roman" w:hAnsi="Times New Roman"/>
                <w:b/>
                <w:i w:val="0"/>
                <w:sz w:val="16"/>
              </w:rPr>
              <w:t>Full-Big-4 baseline C1%</w:t>
            </w:r>
          </w:p>
        </w:tc>
        <w:tc>
          <w:tcPr>
            <w:tcW w:type="dxa" w:w="1234"/>
          </w:tcPr>
          <w:p>
            <w:pPr>
              <w:jc w:val="center"/>
            </w:pPr>
            <w:r/>
            <w:r>
              <w:rPr>
                <w:rFonts w:ascii="Times New Roman" w:hAnsi="Times New Roman"/>
                <w:b/>
                <w:i w:val="0"/>
                <w:sz w:val="16"/>
              </w:rPr>
              <w:t>Absolute difference</w:t>
            </w:r>
          </w:p>
        </w:tc>
      </w:tr>
      <w:tr>
        <w:tc>
          <w:tcPr>
            <w:tcW w:type="dxa" w:w="1234"/>
          </w:tcPr>
          <w:p>
            <w:pPr>
              <w:jc w:val="center"/>
            </w:pPr>
            <w:r/>
            <w:r>
              <w:rPr>
                <w:rFonts w:ascii="Times New Roman" w:hAnsi="Times New Roman"/>
                <w:b w:val="0"/>
                <w:i w:val="0"/>
                <w:sz w:val="16"/>
              </w:rPr>
              <w:t>Full-Big-4 baseline</w:t>
            </w:r>
          </w:p>
        </w:tc>
        <w:tc>
          <w:tcPr>
            <w:tcW w:type="dxa" w:w="1234"/>
          </w:tcPr>
          <w:p>
            <w:pPr>
              <w:jc w:val="center"/>
            </w:pPr>
            <w:r/>
            <w:r>
              <w:rPr>
                <w:rFonts w:ascii="Times New Roman" w:hAnsi="Times New Roman"/>
                <w:b w:val="0"/>
                <w:i w:val="0"/>
                <w:sz w:val="16"/>
              </w:rPr>
              <w:t>0.9457</w:t>
            </w:r>
          </w:p>
        </w:tc>
        <w:tc>
          <w:tcPr>
            <w:tcW w:type="dxa" w:w="1234"/>
          </w:tcPr>
          <w:p>
            <w:pPr>
              <w:jc w:val="center"/>
            </w:pPr>
            <w:r/>
            <w:r>
              <w:rPr>
                <w:rFonts w:ascii="Times New Roman" w:hAnsi="Times New Roman"/>
                <w:b w:val="0"/>
                <w:i w:val="0"/>
                <w:sz w:val="16"/>
              </w:rPr>
              <w:t>9.17</w:t>
            </w:r>
          </w:p>
        </w:tc>
        <w:tc>
          <w:tcPr>
            <w:tcW w:type="dxa" w:w="1234"/>
          </w:tcPr>
          <w:p>
            <w:pPr>
              <w:jc w:val="center"/>
            </w:pPr>
            <w:r/>
            <w:r>
              <w:rPr>
                <w:rFonts w:ascii="Times New Roman" w:hAnsi="Times New Roman"/>
                <w:b w:val="0"/>
                <w:i w:val="0"/>
                <w:sz w:val="16"/>
              </w:rPr>
              <w:t>0.143</w:t>
            </w:r>
          </w:p>
        </w:tc>
        <w:tc>
          <w:tcPr>
            <w:tcW w:type="dxa" w:w="1234"/>
          </w:tcPr>
          <w:p>
            <w:pPr>
              <w:jc w:val="center"/>
            </w:pPr>
            <w:r/>
            <w:r>
              <w:rPr>
                <w:rFonts w:ascii="Times New Roman" w:hAnsi="Times New Roman"/>
                <w:b w:val="0"/>
                <w:i w:val="0"/>
                <w:sz w:val="16"/>
              </w:rPr>
              <w:t>—</w:t>
            </w:r>
          </w:p>
        </w:tc>
        <w:tc>
          <w:tcPr>
            <w:tcW w:type="dxa" w:w="1234"/>
          </w:tcPr>
          <w:p>
            <w:pPr>
              <w:jc w:val="center"/>
            </w:pPr>
            <w:r/>
            <w:r>
              <w:rPr>
                <w:rFonts w:ascii="Times New Roman" w:hAnsi="Times New Roman"/>
                <w:b w:val="0"/>
                <w:i w:val="0"/>
                <w:sz w:val="16"/>
              </w:rPr>
              <w:t>—</w:t>
            </w:r>
          </w:p>
        </w:tc>
        <w:tc>
          <w:tcPr>
            <w:tcW w:type="dxa" w:w="1234"/>
          </w:tcPr>
          <w:p>
            <w:pPr>
              <w:jc w:val="center"/>
            </w:pPr>
            <w:r/>
            <w:r>
              <w:rPr>
                <w:rFonts w:ascii="Times New Roman" w:hAnsi="Times New Roman"/>
                <w:b w:val="0"/>
                <w:i w:val="0"/>
                <w:sz w:val="16"/>
              </w:rPr>
              <w:t>—</w:t>
            </w:r>
          </w:p>
        </w:tc>
      </w:tr>
      <w:tr>
        <w:tc>
          <w:tcPr>
            <w:tcW w:type="dxa" w:w="1234"/>
          </w:tcPr>
          <w:p>
            <w:pPr>
              <w:jc w:val="center"/>
            </w:pPr>
            <w:r/>
            <w:r>
              <w:rPr>
                <w:rFonts w:ascii="Times New Roman" w:hAnsi="Times New Roman"/>
                <w:b w:val="0"/>
                <w:i w:val="0"/>
                <w:sz w:val="16"/>
              </w:rPr>
              <w:t>Firm A held out</w:t>
            </w:r>
          </w:p>
        </w:tc>
        <w:tc>
          <w:tcPr>
            <w:tcW w:type="dxa" w:w="1234"/>
          </w:tcPr>
          <w:p>
            <w:pPr>
              <w:jc w:val="center"/>
            </w:pPr>
            <w:r/>
            <w:r>
              <w:rPr>
                <w:rFonts w:ascii="Times New Roman" w:hAnsi="Times New Roman"/>
                <w:b w:val="0"/>
                <w:i w:val="0"/>
                <w:sz w:val="16"/>
              </w:rPr>
              <w:t>0.9425</w:t>
            </w:r>
          </w:p>
        </w:tc>
        <w:tc>
          <w:tcPr>
            <w:tcW w:type="dxa" w:w="1234"/>
          </w:tcPr>
          <w:p>
            <w:pPr>
              <w:jc w:val="center"/>
            </w:pPr>
            <w:r/>
            <w:r>
              <w:rPr>
                <w:rFonts w:ascii="Times New Roman" w:hAnsi="Times New Roman"/>
                <w:b w:val="0"/>
                <w:i w:val="0"/>
                <w:sz w:val="16"/>
              </w:rPr>
              <w:t>10.13</w:t>
            </w:r>
          </w:p>
        </w:tc>
        <w:tc>
          <w:tcPr>
            <w:tcW w:type="dxa" w:w="1234"/>
          </w:tcPr>
          <w:p>
            <w:pPr>
              <w:jc w:val="center"/>
            </w:pPr>
            <w:r/>
            <w:r>
              <w:rPr>
                <w:rFonts w:ascii="Times New Roman" w:hAnsi="Times New Roman"/>
                <w:b w:val="0"/>
                <w:i w:val="0"/>
                <w:sz w:val="16"/>
              </w:rPr>
              <w:t>0.145</w:t>
            </w:r>
          </w:p>
        </w:tc>
        <w:tc>
          <w:tcPr>
            <w:tcW w:type="dxa" w:w="1234"/>
          </w:tcPr>
          <w:p>
            <w:pPr>
              <w:jc w:val="center"/>
            </w:pPr>
            <w:r/>
            <w:r>
              <w:rPr>
                <w:rFonts w:ascii="Times New Roman" w:hAnsi="Times New Roman"/>
                <w:b w:val="0"/>
                <w:i w:val="0"/>
                <w:sz w:val="16"/>
              </w:rPr>
              <w:t>4.68%</w:t>
            </w:r>
          </w:p>
        </w:tc>
        <w:tc>
          <w:tcPr>
            <w:tcW w:type="dxa" w:w="1234"/>
          </w:tcPr>
          <w:p>
            <w:pPr>
              <w:jc w:val="center"/>
            </w:pPr>
            <w:r/>
            <w:r>
              <w:rPr>
                <w:rFonts w:ascii="Times New Roman" w:hAnsi="Times New Roman"/>
                <w:b w:val="0"/>
                <w:i w:val="0"/>
                <w:sz w:val="16"/>
              </w:rPr>
              <w:t>0.00%</w:t>
            </w:r>
          </w:p>
        </w:tc>
        <w:tc>
          <w:tcPr>
            <w:tcW w:type="dxa" w:w="1234"/>
          </w:tcPr>
          <w:p>
            <w:pPr>
              <w:jc w:val="center"/>
            </w:pPr>
            <w:r/>
            <w:r>
              <w:rPr>
                <w:rFonts w:ascii="Times New Roman" w:hAnsi="Times New Roman"/>
                <w:b w:val="0"/>
                <w:i w:val="0"/>
                <w:sz w:val="16"/>
              </w:rPr>
              <w:t>4.68</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B held out</w:t>
            </w:r>
          </w:p>
        </w:tc>
        <w:tc>
          <w:tcPr>
            <w:tcW w:type="dxa" w:w="1234"/>
          </w:tcPr>
          <w:p>
            <w:pPr>
              <w:jc w:val="center"/>
            </w:pPr>
            <w:r/>
            <w:r>
              <w:rPr>
                <w:rFonts w:ascii="Times New Roman" w:hAnsi="Times New Roman"/>
                <w:b w:val="0"/>
                <w:i w:val="0"/>
                <w:sz w:val="16"/>
              </w:rPr>
              <w:t>0.9441</w:t>
            </w:r>
          </w:p>
        </w:tc>
        <w:tc>
          <w:tcPr>
            <w:tcW w:type="dxa" w:w="1234"/>
          </w:tcPr>
          <w:p>
            <w:pPr>
              <w:jc w:val="center"/>
            </w:pPr>
            <w:r/>
            <w:r>
              <w:rPr>
                <w:rFonts w:ascii="Times New Roman" w:hAnsi="Times New Roman"/>
                <w:b w:val="0"/>
                <w:i w:val="0"/>
                <w:sz w:val="16"/>
              </w:rPr>
              <w:t>9.16</w:t>
            </w:r>
          </w:p>
        </w:tc>
        <w:tc>
          <w:tcPr>
            <w:tcW w:type="dxa" w:w="1234"/>
          </w:tcPr>
          <w:p>
            <w:pPr>
              <w:jc w:val="center"/>
            </w:pPr>
            <w:r/>
            <w:r>
              <w:rPr>
                <w:rFonts w:ascii="Times New Roman" w:hAnsi="Times New Roman"/>
                <w:b w:val="0"/>
                <w:i w:val="0"/>
                <w:sz w:val="16"/>
              </w:rPr>
              <w:t>0.127</w:t>
            </w:r>
          </w:p>
        </w:tc>
        <w:tc>
          <w:tcPr>
            <w:tcW w:type="dxa" w:w="1234"/>
          </w:tcPr>
          <w:p>
            <w:pPr>
              <w:jc w:val="center"/>
            </w:pPr>
            <w:r/>
            <w:r>
              <w:rPr>
                <w:rFonts w:ascii="Times New Roman" w:hAnsi="Times New Roman"/>
                <w:b w:val="0"/>
                <w:i w:val="0"/>
                <w:sz w:val="16"/>
              </w:rPr>
              <w:t>7.14%</w:t>
            </w:r>
          </w:p>
        </w:tc>
        <w:tc>
          <w:tcPr>
            <w:tcW w:type="dxa" w:w="1234"/>
          </w:tcPr>
          <w:p>
            <w:pPr>
              <w:jc w:val="center"/>
            </w:pPr>
            <w:r/>
            <w:r>
              <w:rPr>
                <w:rFonts w:ascii="Times New Roman" w:hAnsi="Times New Roman"/>
                <w:b w:val="0"/>
                <w:i w:val="0"/>
                <w:sz w:val="16"/>
              </w:rPr>
              <w:t>8.93%</w:t>
            </w:r>
          </w:p>
        </w:tc>
        <w:tc>
          <w:tcPr>
            <w:tcW w:type="dxa" w:w="1234"/>
          </w:tcPr>
          <w:p>
            <w:pPr>
              <w:jc w:val="center"/>
            </w:pPr>
            <w:r/>
            <w:r>
              <w:rPr>
                <w:rFonts w:ascii="Times New Roman" w:hAnsi="Times New Roman"/>
                <w:b w:val="0"/>
                <w:i w:val="0"/>
                <w:sz w:val="16"/>
              </w:rPr>
              <w:t>1.76</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C held out</w:t>
            </w:r>
          </w:p>
        </w:tc>
        <w:tc>
          <w:tcPr>
            <w:tcW w:type="dxa" w:w="1234"/>
          </w:tcPr>
          <w:p>
            <w:pPr>
              <w:jc w:val="center"/>
            </w:pPr>
            <w:r/>
            <w:r>
              <w:rPr>
                <w:rFonts w:ascii="Times New Roman" w:hAnsi="Times New Roman"/>
                <w:b w:val="0"/>
                <w:i w:val="0"/>
                <w:sz w:val="16"/>
              </w:rPr>
              <w:t>0.9504</w:t>
            </w:r>
          </w:p>
        </w:tc>
        <w:tc>
          <w:tcPr>
            <w:tcW w:type="dxa" w:w="1234"/>
          </w:tcPr>
          <w:p>
            <w:pPr>
              <w:jc w:val="center"/>
            </w:pPr>
            <w:r/>
            <w:r>
              <w:rPr>
                <w:rFonts w:ascii="Times New Roman" w:hAnsi="Times New Roman"/>
                <w:b w:val="0"/>
                <w:i w:val="0"/>
                <w:sz w:val="16"/>
              </w:rPr>
              <w:t>8.41</w:t>
            </w:r>
          </w:p>
        </w:tc>
        <w:tc>
          <w:tcPr>
            <w:tcW w:type="dxa" w:w="1234"/>
          </w:tcPr>
          <w:p>
            <w:pPr>
              <w:jc w:val="center"/>
            </w:pPr>
            <w:r/>
            <w:r>
              <w:rPr>
                <w:rFonts w:ascii="Times New Roman" w:hAnsi="Times New Roman"/>
                <w:b w:val="0"/>
                <w:i w:val="0"/>
                <w:sz w:val="16"/>
              </w:rPr>
              <w:t>0.126</w:t>
            </w:r>
          </w:p>
        </w:tc>
        <w:tc>
          <w:tcPr>
            <w:tcW w:type="dxa" w:w="1234"/>
          </w:tcPr>
          <w:p>
            <w:pPr>
              <w:jc w:val="center"/>
            </w:pPr>
            <w:r/>
            <w:r>
              <w:rPr>
                <w:rFonts w:ascii="Times New Roman" w:hAnsi="Times New Roman"/>
                <w:b w:val="0"/>
                <w:i w:val="0"/>
                <w:sz w:val="16"/>
              </w:rPr>
              <w:t>36.27%</w:t>
            </w:r>
          </w:p>
        </w:tc>
        <w:tc>
          <w:tcPr>
            <w:tcW w:type="dxa" w:w="1234"/>
          </w:tcPr>
          <w:p>
            <w:pPr>
              <w:jc w:val="center"/>
            </w:pPr>
            <w:r/>
            <w:r>
              <w:rPr>
                <w:rFonts w:ascii="Times New Roman" w:hAnsi="Times New Roman"/>
                <w:b w:val="0"/>
                <w:i w:val="0"/>
                <w:sz w:val="16"/>
              </w:rPr>
              <w:t>23.53%</w:t>
            </w:r>
          </w:p>
        </w:tc>
        <w:tc>
          <w:tcPr>
            <w:tcW w:type="dxa" w:w="1234"/>
          </w:tcPr>
          <w:p>
            <w:pPr>
              <w:jc w:val="center"/>
            </w:pPr>
            <w:r/>
            <w:r>
              <w:rPr>
                <w:rFonts w:ascii="Times New Roman" w:hAnsi="Times New Roman"/>
                <w:b w:val="0"/>
                <w:i w:val="0"/>
                <w:sz w:val="16"/>
              </w:rPr>
              <w:t>12.77</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D held out</w:t>
            </w:r>
          </w:p>
        </w:tc>
        <w:tc>
          <w:tcPr>
            <w:tcW w:type="dxa" w:w="1234"/>
          </w:tcPr>
          <w:p>
            <w:pPr>
              <w:jc w:val="center"/>
            </w:pPr>
            <w:r/>
            <w:r>
              <w:rPr>
                <w:rFonts w:ascii="Times New Roman" w:hAnsi="Times New Roman"/>
                <w:b w:val="0"/>
                <w:i w:val="0"/>
                <w:sz w:val="16"/>
              </w:rPr>
              <w:t>0.9439</w:t>
            </w:r>
          </w:p>
        </w:tc>
        <w:tc>
          <w:tcPr>
            <w:tcW w:type="dxa" w:w="1234"/>
          </w:tcPr>
          <w:p>
            <w:pPr>
              <w:jc w:val="center"/>
            </w:pPr>
            <w:r/>
            <w:r>
              <w:rPr>
                <w:rFonts w:ascii="Times New Roman" w:hAnsi="Times New Roman"/>
                <w:b w:val="0"/>
                <w:i w:val="0"/>
                <w:sz w:val="16"/>
              </w:rPr>
              <w:t>9.29</w:t>
            </w:r>
          </w:p>
        </w:tc>
        <w:tc>
          <w:tcPr>
            <w:tcW w:type="dxa" w:w="1234"/>
          </w:tcPr>
          <w:p>
            <w:pPr>
              <w:jc w:val="center"/>
            </w:pPr>
            <w:r/>
            <w:r>
              <w:rPr>
                <w:rFonts w:ascii="Times New Roman" w:hAnsi="Times New Roman"/>
                <w:b w:val="0"/>
                <w:i w:val="0"/>
                <w:sz w:val="16"/>
              </w:rPr>
              <w:t>0.120</w:t>
            </w:r>
          </w:p>
        </w:tc>
        <w:tc>
          <w:tcPr>
            <w:tcW w:type="dxa" w:w="1234"/>
          </w:tcPr>
          <w:p>
            <w:pPr>
              <w:jc w:val="center"/>
            </w:pPr>
            <w:r/>
            <w:r>
              <w:rPr>
                <w:rFonts w:ascii="Times New Roman" w:hAnsi="Times New Roman"/>
                <w:b w:val="0"/>
                <w:i w:val="0"/>
                <w:sz w:val="16"/>
              </w:rPr>
              <w:t>17.31%</w:t>
            </w:r>
          </w:p>
        </w:tc>
        <w:tc>
          <w:tcPr>
            <w:tcW w:type="dxa" w:w="1234"/>
          </w:tcPr>
          <w:p>
            <w:pPr>
              <w:jc w:val="center"/>
            </w:pPr>
            <w:r/>
            <w:r>
              <w:rPr>
                <w:rFonts w:ascii="Times New Roman" w:hAnsi="Times New Roman"/>
                <w:b w:val="0"/>
                <w:i w:val="0"/>
                <w:sz w:val="16"/>
              </w:rPr>
              <w:t>11.54%</w:t>
            </w:r>
          </w:p>
        </w:tc>
        <w:tc>
          <w:tcPr>
            <w:tcW w:type="dxa" w:w="1234"/>
          </w:tcPr>
          <w:p>
            <w:pPr>
              <w:jc w:val="center"/>
            </w:pPr>
            <w:r/>
            <w:r>
              <w:rPr>
                <w:rFonts w:ascii="Times New Roman" w:hAnsi="Times New Roman"/>
                <w:b w:val="0"/>
                <w:i w:val="0"/>
                <w:sz w:val="16"/>
              </w:rPr>
              <w:t>5.81</w:t>
            </w:r>
            <w:r>
              <w:rPr>
                <w:rFonts w:ascii="Times New Roman" w:hAnsi="Times New Roman"/>
                <w:b w:val="0"/>
                <w:i w:val="0"/>
                <w:sz w:val="16"/>
              </w:rPr>
              <w:t xml:space="preserve"> pp</w:t>
            </w:r>
          </w:p>
        </w:tc>
      </w:tr>
    </w:tbl>
    <w:p/>
    <w:p>
      <w:pPr>
        <w:spacing w:after="120"/>
      </w:pPr>
      <w:r>
        <w:rPr>
          <w:rFonts w:ascii="Times New Roman" w:hAnsi="Times New Roman"/>
          <w:b w:val="0"/>
          <w:i w:val="0"/>
          <w:sz w:val="20"/>
        </w:rPr>
        <w:t xml:space="preserve">(Source: Script 37; screening label P2_PARTIAL.) Component shape is reproducible across folds: max deviation of C1 cosine = </w:t>
      </w:r>
      <w:r>
        <w:rPr>
          <w:rFonts w:ascii="Times New Roman" w:hAnsi="Times New Roman"/>
          <w:b w:val="0"/>
          <w:i w:val="0"/>
          <w:sz w:val="20"/>
        </w:rPr>
        <w:t>0.005</w:t>
      </w:r>
      <w:r>
        <w:rPr>
          <w:rFonts w:ascii="Times New Roman" w:hAnsi="Times New Roman"/>
          <w:b w:val="0"/>
          <w:i w:val="0"/>
          <w:sz w:val="20"/>
        </w:rPr>
        <w:t xml:space="preserve">, C1 dHash = </w:t>
      </w:r>
      <w:r>
        <w:rPr>
          <w:rFonts w:ascii="Times New Roman" w:hAnsi="Times New Roman"/>
          <w:b w:val="0"/>
          <w:i w:val="0"/>
          <w:sz w:val="20"/>
        </w:rPr>
        <w:t>0.96</w:t>
      </w:r>
      <w:r>
        <w:rPr>
          <w:rFonts w:ascii="Times New Roman" w:hAnsi="Times New Roman"/>
          <w:b w:val="0"/>
          <w:i w:val="0"/>
          <w:sz w:val="20"/>
        </w:rPr>
        <w:t xml:space="preserve">, C1 weight = </w:t>
      </w:r>
      <w:r>
        <w:rPr>
          <w:rFonts w:ascii="Times New Roman" w:hAnsi="Times New Roman"/>
          <w:b w:val="0"/>
          <w:i w:val="0"/>
          <w:sz w:val="20"/>
        </w:rPr>
        <w:t>0.023</w:t>
      </w:r>
      <w:r>
        <w:rPr>
          <w:rFonts w:ascii="Times New Roman" w:hAnsi="Times New Roman"/>
          <w:b w:val="0"/>
          <w:i w:val="0"/>
          <w:sz w:val="20"/>
        </w:rPr>
        <w:t xml:space="preserve">. Hard-posterior membership for the held-out firm varies: max absolute difference from the full-Big-4 baseline is </w:t>
      </w:r>
      <w:r>
        <w:rPr>
          <w:rFonts w:ascii="Times New Roman" w:hAnsi="Times New Roman"/>
          <w:b w:val="0"/>
          <w:i w:val="0"/>
          <w:sz w:val="20"/>
        </w:rPr>
        <w:t>12.77</w:t>
      </w:r>
      <w:r>
        <w:rPr>
          <w:rFonts w:ascii="Times New Roman" w:hAnsi="Times New Roman"/>
          <w:b w:val="0"/>
          <w:i w:val="0"/>
          <w:sz w:val="20"/>
        </w:rPr>
        <w:t xml:space="preserve"> pp at the Firm C held-out fold, exceeding the report's </w:t>
      </w:r>
      <w:r>
        <w:rPr>
          <w:rFonts w:ascii="Times New Roman" w:hAnsi="Times New Roman"/>
          <w:b w:val="0"/>
          <w:i w:val="0"/>
          <w:sz w:val="20"/>
        </w:rPr>
        <w:t>5</w:t>
      </w:r>
      <w:r>
        <w:rPr>
          <w:rFonts w:ascii="Times New Roman" w:hAnsi="Times New Roman"/>
          <w:b w:val="0"/>
          <w:i w:val="0"/>
          <w:sz w:val="20"/>
        </w:rPr>
        <w:t xml:space="preserve"> pp viability bar. We accordingly do not use K=3 hard-posterior membership as an operational classifier label (§III-J, §III-L).</w:t>
      </w:r>
    </w:p>
    <w:p>
      <w:pPr>
        <w:pStyle w:val="Heading2"/>
      </w:pPr>
      <w:r>
        <w:rPr>
          <w:color w:val="000000"/>
        </w:rPr>
        <w:t>H. Pixel-Identity Positive-Anchor Miss Rate</w:t>
      </w:r>
    </w:p>
    <w:p>
      <w:pPr>
        <w:spacing w:after="120"/>
      </w:pPr>
      <w:r>
        <w:rPr>
          <w:rFonts w:ascii="Times New Roman" w:hAnsi="Times New Roman"/>
          <w:b w:val="0"/>
          <w:i w:val="0"/>
          <w:sz w:val="20"/>
        </w:rPr>
        <w:t xml:space="preserve">This section reports the only conservative hard-positive subset analysis available in the corpus: the positive-anchor miss rate against </w:t>
      </w:r>
      <w:r>
        <w:rPr>
          <w:rFonts w:ascii="Times New Roman" w:hAnsi="Times New Roman"/>
          <w:b w:val="0"/>
          <w:i w:val="0"/>
          <w:sz w:val="20"/>
        </w:rPr>
        <w:t>n = 262</w:t>
      </w:r>
      <w:r>
        <w:rPr>
          <w:rFonts w:ascii="Times New Roman" w:hAnsi="Times New Roman"/>
          <w:b w:val="0"/>
          <w:i w:val="0"/>
          <w:sz w:val="20"/>
        </w:rPr>
        <w:t xml:space="preserve"> Big-4 signatures whose nearest same-CPA match is byte-identical after crop and normalisation. Independent hand-signing cannot produce pixel-identical images, so byte-identical signatures are a conservative hard-positive subset for image replication. The analysis is one-sided (positive-anchor only); a paired false-alarm rate against a hand-signed negative anchor is not available because no signature-level hand-signed ground truth exists in the corpus (§III-K item 4).</w:t>
      </w:r>
    </w:p>
    <w:p>
      <w:pPr>
        <w:spacing w:after="120"/>
      </w:pPr>
      <w:r>
        <w:rPr>
          <w:rFonts w:ascii="Times New Roman" w:hAnsi="Times New Roman"/>
          <w:b w:val="0"/>
          <w:i w:val="0"/>
          <w:sz w:val="20"/>
        </w:rPr>
        <w:t xml:space="preserve">Table XIV. Positive-anchor miss rate, </w:t>
      </w:r>
      <w:r>
        <w:rPr>
          <w:rFonts w:ascii="Times New Roman" w:hAnsi="Times New Roman"/>
          <w:b w:val="0"/>
          <w:i w:val="0"/>
          <w:sz w:val="20"/>
        </w:rPr>
        <w:t>n = 262</w:t>
      </w:r>
      <w:r>
        <w:rPr>
          <w:rFonts w:ascii="Times New Roman" w:hAnsi="Times New Roman"/>
          <w:b w:val="0"/>
          <w:i w:val="0"/>
          <w:sz w:val="20"/>
        </w:rPr>
        <w:t xml:space="preserve"> Big-4 byte-identical signatures.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Classifier</w:t>
            </w:r>
          </w:p>
        </w:tc>
        <w:tc>
          <w:tcPr>
            <w:tcW w:type="dxa" w:w="2160"/>
          </w:tcPr>
          <w:p>
            <w:pPr>
              <w:jc w:val="center"/>
            </w:pPr>
            <w:r/>
            <w:r>
              <w:rPr>
                <w:rFonts w:ascii="Times New Roman" w:hAnsi="Times New Roman"/>
                <w:b/>
                <w:i w:val="0"/>
                <w:sz w:val="16"/>
              </w:rPr>
              <w:t>Misclassified as less-replication-dominated</w:t>
            </w:r>
          </w:p>
        </w:tc>
        <w:tc>
          <w:tcPr>
            <w:tcW w:type="dxa" w:w="2160"/>
          </w:tcPr>
          <w:p>
            <w:pPr>
              <w:jc w:val="center"/>
            </w:pPr>
            <w:r/>
            <w:r>
              <w:rPr>
                <w:rFonts w:ascii="Times New Roman" w:hAnsi="Times New Roman"/>
                <w:b/>
                <w:i w:val="0"/>
                <w:sz w:val="16"/>
              </w:rPr>
              <w:t>Miss rate</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r>
        <w:tc>
          <w:tcPr>
            <w:tcW w:type="dxa" w:w="2160"/>
          </w:tcPr>
          <w:p>
            <w:pPr>
              <w:jc w:val="center"/>
            </w:pPr>
            <w:r/>
            <w:r>
              <w:rPr>
                <w:rFonts w:ascii="Times New Roman" w:hAnsi="Times New Roman"/>
                <w:b w:val="0"/>
                <w:i w:val="0"/>
                <w:sz w:val="16"/>
              </w:rPr>
              <w:t>K=3 per-CPA hard label (C3 = high-cos / low-dHash; descriptive)</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r>
        <w:tc>
          <w:tcPr>
            <w:tcW w:type="dxa" w:w="2160"/>
          </w:tcPr>
          <w:p>
            <w:pPr>
              <w:jc w:val="center"/>
            </w:pPr>
            <w:r/>
            <w:r>
              <w:rPr>
                <w:rFonts w:ascii="Times New Roman" w:hAnsi="Times New Roman"/>
                <w:b w:val="0"/>
                <w:i w:val="0"/>
                <w:sz w:val="16"/>
              </w:rPr>
              <w:t>Reverse-anchor (prevalence-calibrated cut)</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bl>
    <w:p/>
    <w:p>
      <w:pPr>
        <w:spacing w:after="120"/>
      </w:pPr>
      <w:r>
        <w:rPr>
          <w:rFonts w:ascii="Times New Roman" w:hAnsi="Times New Roman"/>
          <w:b w:val="0"/>
          <w:i w:val="0"/>
          <w:sz w:val="20"/>
        </w:rPr>
        <w:t>(Source: Script 40.) Per-firm breakdown of the byte-identical subset: Firm A 145; Firm B 8; Firm C 107; Firm D 2. All three candidate scores correctly assign every byte-identical signature to the replicated class.</w:t>
      </w:r>
    </w:p>
    <w:p>
      <w:pPr>
        <w:spacing w:after="120"/>
      </w:pPr>
      <w:r>
        <w:rPr>
          <w:rFonts w:ascii="Times New Roman" w:hAnsi="Times New Roman"/>
          <w:b w:val="0"/>
          <w:i w:val="0"/>
          <w:sz w:val="20"/>
        </w:rPr>
        <w:t xml:space="preserve">We caution that for the deployed box rule this result is close to tautological (byte-identical nearest-neighbour signatures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well inside the rule's high-confidence region). The reverse-anchor cut is chosen by prevalence calibration against the box rule's overall replicated rate of </w:t>
      </w:r>
      <w:r>
        <w:rPr>
          <w:rFonts w:ascii="Times New Roman" w:hAnsi="Times New Roman"/>
          <w:b w:val="0"/>
          <w:i w:val="0"/>
          <w:sz w:val="20"/>
        </w:rPr>
        <w:t>49.58%</w:t>
      </w:r>
      <w:r>
        <w:rPr>
          <w:rFonts w:ascii="Times New Roman" w:hAnsi="Times New Roman"/>
          <w:b w:val="0"/>
          <w:i w:val="0"/>
          <w:sz w:val="20"/>
        </w:rPr>
        <w:t xml:space="preserve"> across Big-4 signatures; this is a documented limitation since no signature-level hand-signed ground truth exists to permit direct ROC optimisation.</w:t>
      </w:r>
    </w:p>
    <w:p>
      <w:pPr>
        <w:pStyle w:val="Heading2"/>
      </w:pPr>
      <w:r>
        <w:rPr>
          <w:color w:val="000000"/>
        </w:rPr>
        <w:t>I. Inter-CPA Pair-Level Coincidence Rate</w:t>
      </w:r>
    </w:p>
    <w:p>
      <w:pPr>
        <w:spacing w:after="120"/>
      </w:pPr>
      <w:r>
        <w:rPr>
          <w:rFonts w:ascii="Times New Roman" w:hAnsi="Times New Roman"/>
          <w:b w:val="0"/>
          <w:i w:val="0"/>
          <w:sz w:val="20"/>
        </w:rPr>
        <w:t>The metric reported here is the inter-CPA pair-level coincidence rate (ICCR). It is the per-pair rate at which two signatures from different CPAs satisfy the deployed rule. We do not label it as a False Acceptance Rate because (a) FAR has a biometric-verification meaning that requires ground-truth negative labels, and (b) the inter-CPA negative-anchor assumption is partially violated by within-firm cross-CPA template-like collision structures (§III-L.4 cross-firm hit matrix).</w:t>
      </w:r>
    </w:p>
    <w:p>
      <w:pPr>
        <w:spacing w:after="120"/>
      </w:pPr>
      <w:r>
        <w:rPr>
          <w:rFonts w:ascii="Times New Roman" w:hAnsi="Times New Roman"/>
          <w:b w:val="0"/>
          <w:i w:val="0"/>
          <w:sz w:val="20"/>
        </w:rPr>
        <w:t xml:space="preserve">A corpus-wide spike on </w:t>
      </w:r>
      <w:r>
        <w:rPr>
          <w:rFonts w:ascii="Times New Roman" w:hAnsi="Times New Roman"/>
          <w:b w:val="0"/>
          <w:i w:val="0"/>
          <w:sz w:val="20"/>
        </w:rPr>
        <w:t>~ 50,000</w:t>
      </w:r>
      <w:r>
        <w:rPr>
          <w:rFonts w:ascii="Times New Roman" w:hAnsi="Times New Roman"/>
          <w:b w:val="0"/>
          <w:i w:val="0"/>
          <w:sz w:val="20"/>
        </w:rPr>
        <w:t xml:space="preserve"> inter-CPA pairs gives a per-comparison rate of </w:t>
      </w:r>
      <w:r>
        <w:rPr>
          <w:rFonts w:ascii="Times New Roman" w:hAnsi="Times New Roman"/>
          <w:b w:val="0"/>
          <w:i w:val="0"/>
          <w:sz w:val="20"/>
        </w:rPr>
        <w:t>0.0005</w:t>
      </w:r>
      <w:r>
        <w:rPr>
          <w:rFonts w:ascii="Times New Roman" w:hAnsi="Times New Roman"/>
          <w:b w:val="0"/>
          <w:i w:val="0"/>
          <w:sz w:val="20"/>
        </w:rPr>
        <w:t xml:space="preserve"> (Wilson 95% CI </w:t>
      </w:r>
      <w:r>
        <w:rPr>
          <w:rFonts w:ascii="Times New Roman" w:hAnsi="Times New Roman"/>
          <w:b w:val="0"/>
          <w:i w:val="0"/>
          <w:sz w:val="20"/>
        </w:rPr>
        <w:t>[0.0003, 0.0007]</w:t>
      </w:r>
      <w:r>
        <w:rPr>
          <w:rFonts w:ascii="Times New Roman" w:hAnsi="Times New Roman"/>
          <w:b w:val="0"/>
          <w:i w:val="0"/>
          <w:sz w:val="20"/>
        </w:rPr>
        <w:t xml:space="preserve">) at the cosine cut </w:t>
      </w:r>
      <w:r>
        <w:rPr>
          <w:rFonts w:ascii="Times New Roman" w:hAnsi="Times New Roman"/>
          <w:b w:val="0"/>
          <w:i w:val="0"/>
          <w:sz w:val="20"/>
        </w:rPr>
        <w:t>0.95</w:t>
      </w:r>
      <w:r>
        <w:rPr>
          <w:rFonts w:ascii="Times New Roman" w:hAnsi="Times New Roman"/>
          <w:b w:val="0"/>
          <w:i w:val="0"/>
          <w:sz w:val="20"/>
        </w:rPr>
        <w:t>. The Big-4-scope spike at higher sample size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 inter-CPA pairs) replicates this number, adds the structural dimension (dHash), and adds joint-rule rates; the §III-L.1 numbers are referenced rather than duplicated here, and the consolidated ICCR calibration appears in §IV-M Tables XXI–XXVI.</w:t>
      </w:r>
    </w:p>
    <w:p>
      <w:pPr>
        <w:pStyle w:val="Heading2"/>
      </w:pPr>
      <w:r>
        <w:rPr>
          <w:color w:val="000000"/>
        </w:rPr>
        <w:t>J. Five-Way Per-Signature + Document-Level Classification Output</w:t>
      </w:r>
    </w:p>
    <w:p>
      <w:pPr>
        <w:spacing w:after="120"/>
      </w:pPr>
      <w:r>
        <w:rPr>
          <w:rFonts w:ascii="Times New Roman" w:hAnsi="Times New Roman"/>
          <w:b w:val="0"/>
          <w:i w:val="0"/>
          <w:sz w:val="20"/>
        </w:rPr>
        <w:t>This section reports the five-way per-signature + document-level worst-case classifier output on the Big-4 sub-corpus. See §III-H.1 for the five-way category definitions and the cosine and dHash cuts; calibration is in §III-L.</w:t>
      </w:r>
    </w:p>
    <w:p>
      <w:pPr>
        <w:spacing w:after="120"/>
      </w:pPr>
      <w:r>
        <w:rPr>
          <w:rFonts w:ascii="Times New Roman" w:hAnsi="Times New Roman"/>
          <w:b w:val="0"/>
          <w:i w:val="0"/>
          <w:sz w:val="20"/>
        </w:rPr>
        <w:t xml:space="preserve">Table XV. Five-way per-signature category counts, Big-4 sub-corpus, </w:t>
      </w:r>
      <w:r>
        <w:rPr>
          <w:rFonts w:ascii="Times New Roman" w:hAnsi="Times New Roman"/>
          <w:b w:val="0"/>
          <w:i w:val="0"/>
          <w:sz w:val="20"/>
        </w:rPr>
        <w:t>n = 150,442</w:t>
      </w:r>
      <w:r>
        <w:rPr>
          <w:rFonts w:ascii="Times New Roman" w:hAnsi="Times New Roman"/>
          <w:b w:val="0"/>
          <w:i w:val="0"/>
          <w:sz w:val="20"/>
        </w:rPr>
        <w:t xml:space="preserve"> classified.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Category</w:t>
            </w:r>
          </w:p>
        </w:tc>
        <w:tc>
          <w:tcPr>
            <w:tcW w:type="dxa" w:w="2160"/>
          </w:tcPr>
          <w:p>
            <w:pPr>
              <w:jc w:val="center"/>
            </w:pPr>
            <w:r/>
            <w:r>
              <w:rPr>
                <w:rFonts w:ascii="Times New Roman" w:hAnsi="Times New Roman"/>
                <w:b/>
                <w:i w:val="0"/>
                <w:sz w:val="16"/>
              </w:rPr>
              <w:t>Long name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signatures</w:t>
            </w:r>
          </w:p>
        </w:tc>
        <w:tc>
          <w:tcPr>
            <w:tcW w:type="dxa" w:w="2160"/>
          </w:tcPr>
          <w:p>
            <w:pPr>
              <w:jc w:val="center"/>
            </w:pPr>
            <w:r/>
            <w:r>
              <w:rPr>
                <w:rFonts w:ascii="Times New Roman" w:hAnsi="Times New Roman"/>
                <w:b/>
                <w:i w:val="0"/>
                <w:sz w:val="16"/>
              </w:rPr>
              <w:t>% of classified</w:t>
            </w:r>
          </w:p>
        </w:tc>
      </w:tr>
      <w:tr>
        <w:tc>
          <w:tcPr>
            <w:tcW w:type="dxa" w:w="2160"/>
          </w:tcPr>
          <w:p>
            <w:pPr>
              <w:jc w:val="center"/>
            </w:pPr>
            <w:r/>
            <w:r>
              <w:rPr>
                <w:rFonts w:ascii="Times New Roman" w:hAnsi="Times New Roman"/>
                <w:b w:val="0"/>
                <w:i w:val="0"/>
                <w:sz w:val="16"/>
              </w:rPr>
              <w:t>HC</w:t>
            </w:r>
          </w:p>
        </w:tc>
        <w:tc>
          <w:tcPr>
            <w:tcW w:type="dxa" w:w="2160"/>
          </w:tcPr>
          <w:p>
            <w:pPr>
              <w:jc w:val="center"/>
            </w:pPr>
            <w:r/>
            <w:r>
              <w:rPr>
                <w:rFonts w:ascii="Times New Roman" w:hAnsi="Times New Roman"/>
                <w:b w:val="0"/>
                <w:i w:val="0"/>
                <w:sz w:val="16"/>
              </w:rPr>
              <w:t>High-confidence non-hand-signed</w:t>
            </w:r>
          </w:p>
        </w:tc>
        <w:tc>
          <w:tcPr>
            <w:tcW w:type="dxa" w:w="2160"/>
          </w:tcPr>
          <w:p>
            <w:pPr>
              <w:jc w:val="center"/>
            </w:pPr>
            <w:r/>
            <w:r>
              <w:rPr>
                <w:rFonts w:ascii="Times New Roman" w:hAnsi="Times New Roman"/>
                <w:b w:val="0"/>
                <w:i w:val="0"/>
                <w:sz w:val="16"/>
              </w:rPr>
              <w:t>74,593</w:t>
            </w:r>
          </w:p>
        </w:tc>
        <w:tc>
          <w:tcPr>
            <w:tcW w:type="dxa" w:w="2160"/>
          </w:tcPr>
          <w:p>
            <w:pPr>
              <w:jc w:val="center"/>
            </w:pPr>
            <w:r/>
            <w:r>
              <w:rPr>
                <w:rFonts w:ascii="Times New Roman" w:hAnsi="Times New Roman"/>
                <w:b w:val="0"/>
                <w:i w:val="0"/>
                <w:sz w:val="16"/>
              </w:rPr>
              <w:t>49.58%</w:t>
            </w:r>
          </w:p>
        </w:tc>
      </w:tr>
      <w:tr>
        <w:tc>
          <w:tcPr>
            <w:tcW w:type="dxa" w:w="2160"/>
          </w:tcPr>
          <w:p>
            <w:pPr>
              <w:jc w:val="center"/>
            </w:pPr>
            <w:r/>
            <w:r>
              <w:rPr>
                <w:rFonts w:ascii="Times New Roman" w:hAnsi="Times New Roman"/>
                <w:b w:val="0"/>
                <w:i w:val="0"/>
                <w:sz w:val="16"/>
              </w:rPr>
              <w:t>MC</w:t>
            </w:r>
          </w:p>
        </w:tc>
        <w:tc>
          <w:tcPr>
            <w:tcW w:type="dxa" w:w="2160"/>
          </w:tcPr>
          <w:p>
            <w:pPr>
              <w:jc w:val="center"/>
            </w:pPr>
            <w:r/>
            <w:r>
              <w:rPr>
                <w:rFonts w:ascii="Times New Roman" w:hAnsi="Times New Roman"/>
                <w:b w:val="0"/>
                <w:i w:val="0"/>
                <w:sz w:val="16"/>
              </w:rPr>
              <w:t>Moderate-confidence non-hand-signed</w:t>
            </w:r>
          </w:p>
        </w:tc>
        <w:tc>
          <w:tcPr>
            <w:tcW w:type="dxa" w:w="2160"/>
          </w:tcPr>
          <w:p>
            <w:pPr>
              <w:jc w:val="center"/>
            </w:pPr>
            <w:r/>
            <w:r>
              <w:rPr>
                <w:rFonts w:ascii="Times New Roman" w:hAnsi="Times New Roman"/>
                <w:b w:val="0"/>
                <w:i w:val="0"/>
                <w:sz w:val="16"/>
              </w:rPr>
              <w:t>39,817</w:t>
            </w:r>
          </w:p>
        </w:tc>
        <w:tc>
          <w:tcPr>
            <w:tcW w:type="dxa" w:w="2160"/>
          </w:tcPr>
          <w:p>
            <w:pPr>
              <w:jc w:val="center"/>
            </w:pPr>
            <w:r/>
            <w:r>
              <w:rPr>
                <w:rFonts w:ascii="Times New Roman" w:hAnsi="Times New Roman"/>
                <w:b w:val="0"/>
                <w:i w:val="0"/>
                <w:sz w:val="16"/>
              </w:rPr>
              <w:t>26.47%</w:t>
            </w:r>
          </w:p>
        </w:tc>
      </w:tr>
      <w:tr>
        <w:tc>
          <w:tcPr>
            <w:tcW w:type="dxa" w:w="2160"/>
          </w:tcPr>
          <w:p>
            <w:pPr>
              <w:jc w:val="center"/>
            </w:pPr>
            <w:r/>
            <w:r>
              <w:rPr>
                <w:rFonts w:ascii="Times New Roman" w:hAnsi="Times New Roman"/>
                <w:b w:val="0"/>
                <w:i w:val="0"/>
                <w:sz w:val="16"/>
              </w:rPr>
              <w:t>HSC</w:t>
            </w:r>
          </w:p>
        </w:tc>
        <w:tc>
          <w:tcPr>
            <w:tcW w:type="dxa" w:w="2160"/>
          </w:tcPr>
          <w:p>
            <w:pPr>
              <w:jc w:val="center"/>
            </w:pPr>
            <w:r/>
            <w:r>
              <w:rPr>
                <w:rFonts w:ascii="Times New Roman" w:hAnsi="Times New Roman"/>
                <w:b w:val="0"/>
                <w:i w:val="0"/>
                <w:sz w:val="16"/>
              </w:rPr>
              <w:t>High style consistency</w:t>
            </w:r>
          </w:p>
        </w:tc>
        <w:tc>
          <w:tcPr>
            <w:tcW w:type="dxa" w:w="2160"/>
          </w:tcPr>
          <w:p>
            <w:pPr>
              <w:jc w:val="center"/>
            </w:pPr>
            <w:r/>
            <w:r>
              <w:rPr>
                <w:rFonts w:ascii="Times New Roman" w:hAnsi="Times New Roman"/>
                <w:b w:val="0"/>
                <w:i w:val="0"/>
                <w:sz w:val="16"/>
              </w:rPr>
              <w:t>314</w:t>
            </w:r>
          </w:p>
        </w:tc>
        <w:tc>
          <w:tcPr>
            <w:tcW w:type="dxa" w:w="2160"/>
          </w:tcPr>
          <w:p>
            <w:pPr>
              <w:jc w:val="center"/>
            </w:pPr>
            <w:r/>
            <w:r>
              <w:rPr>
                <w:rFonts w:ascii="Times New Roman" w:hAnsi="Times New Roman"/>
                <w:b w:val="0"/>
                <w:i w:val="0"/>
                <w:sz w:val="16"/>
              </w:rPr>
              <w:t>0.21%</w:t>
            </w:r>
          </w:p>
        </w:tc>
      </w:tr>
      <w:tr>
        <w:tc>
          <w:tcPr>
            <w:tcW w:type="dxa" w:w="2160"/>
          </w:tcPr>
          <w:p>
            <w:pPr>
              <w:jc w:val="center"/>
            </w:pPr>
            <w:r/>
            <w:r>
              <w:rPr>
                <w:rFonts w:ascii="Times New Roman" w:hAnsi="Times New Roman"/>
                <w:b w:val="0"/>
                <w:i w:val="0"/>
                <w:sz w:val="16"/>
              </w:rPr>
              <w:t>UN</w:t>
            </w:r>
          </w:p>
        </w:tc>
        <w:tc>
          <w:tcPr>
            <w:tcW w:type="dxa" w:w="2160"/>
          </w:tcPr>
          <w:p>
            <w:pPr>
              <w:jc w:val="center"/>
            </w:pPr>
            <w:r/>
            <w:r>
              <w:rPr>
                <w:rFonts w:ascii="Times New Roman" w:hAnsi="Times New Roman"/>
                <w:b w:val="0"/>
                <w:i w:val="0"/>
                <w:sz w:val="16"/>
              </w:rPr>
              <w:t>Uncertain</w:t>
            </w:r>
          </w:p>
        </w:tc>
        <w:tc>
          <w:tcPr>
            <w:tcW w:type="dxa" w:w="2160"/>
          </w:tcPr>
          <w:p>
            <w:pPr>
              <w:jc w:val="center"/>
            </w:pPr>
            <w:r/>
            <w:r>
              <w:rPr>
                <w:rFonts w:ascii="Times New Roman" w:hAnsi="Times New Roman"/>
                <w:b w:val="0"/>
                <w:i w:val="0"/>
                <w:sz w:val="16"/>
              </w:rPr>
              <w:t>35,480</w:t>
            </w:r>
          </w:p>
        </w:tc>
        <w:tc>
          <w:tcPr>
            <w:tcW w:type="dxa" w:w="2160"/>
          </w:tcPr>
          <w:p>
            <w:pPr>
              <w:jc w:val="center"/>
            </w:pPr>
            <w:r/>
            <w:r>
              <w:rPr>
                <w:rFonts w:ascii="Times New Roman" w:hAnsi="Times New Roman"/>
                <w:b w:val="0"/>
                <w:i w:val="0"/>
                <w:sz w:val="16"/>
              </w:rPr>
              <w:t>23.58%</w:t>
            </w:r>
          </w:p>
        </w:tc>
      </w:tr>
      <w:tr>
        <w:tc>
          <w:tcPr>
            <w:tcW w:type="dxa" w:w="2160"/>
          </w:tcPr>
          <w:p>
            <w:pPr>
              <w:jc w:val="center"/>
            </w:pPr>
            <w:r/>
            <w:r>
              <w:rPr>
                <w:rFonts w:ascii="Times New Roman" w:hAnsi="Times New Roman"/>
                <w:b w:val="0"/>
                <w:i w:val="0"/>
                <w:sz w:val="16"/>
              </w:rPr>
              <w:t>LH</w:t>
            </w:r>
          </w:p>
        </w:tc>
        <w:tc>
          <w:tcPr>
            <w:tcW w:type="dxa" w:w="2160"/>
          </w:tcPr>
          <w:p>
            <w:pPr>
              <w:jc w:val="center"/>
            </w:pPr>
            <w:r/>
            <w:r>
              <w:rPr>
                <w:rFonts w:ascii="Times New Roman" w:hAnsi="Times New Roman"/>
                <w:b w:val="0"/>
                <w:i w:val="0"/>
                <w:sz w:val="16"/>
              </w:rPr>
              <w:t>Likely hand-signed</w:t>
            </w:r>
          </w:p>
        </w:tc>
        <w:tc>
          <w:tcPr>
            <w:tcW w:type="dxa" w:w="2160"/>
          </w:tcPr>
          <w:p>
            <w:pPr>
              <w:jc w:val="center"/>
            </w:pPr>
            <w:r/>
            <w:r>
              <w:rPr>
                <w:rFonts w:ascii="Times New Roman" w:hAnsi="Times New Roman"/>
                <w:b w:val="0"/>
                <w:i w:val="0"/>
                <w:sz w:val="16"/>
              </w:rPr>
              <w:t>238</w:t>
            </w:r>
          </w:p>
        </w:tc>
        <w:tc>
          <w:tcPr>
            <w:tcW w:type="dxa" w:w="2160"/>
          </w:tcPr>
          <w:p>
            <w:pPr>
              <w:jc w:val="center"/>
            </w:pPr>
            <w:r/>
            <w:r>
              <w:rPr>
                <w:rFonts w:ascii="Times New Roman" w:hAnsi="Times New Roman"/>
                <w:b w:val="0"/>
                <w:i w:val="0"/>
                <w:sz w:val="16"/>
              </w:rPr>
              <w:t>0.16%</w:t>
            </w:r>
          </w:p>
        </w:tc>
      </w:tr>
    </w:tbl>
    <w:p/>
    <w:p>
      <w:pPr>
        <w:spacing w:after="120"/>
      </w:pPr>
      <w:r>
        <w:rPr>
          <w:rFonts w:ascii="Times New Roman" w:hAnsi="Times New Roman"/>
          <w:b w:val="0"/>
          <w:i w:val="0"/>
          <w:sz w:val="20"/>
        </w:rPr>
        <w:t xml:space="preserve">(Source: Script 42; 11 of 150,453 loaded Big-4 signatures lacked one or both descriptors and were excluded. The </w:t>
      </w:r>
      <w:r>
        <w:rPr>
          <w:rFonts w:ascii="Times New Roman" w:hAnsi="Times New Roman"/>
          <w:b w:val="0"/>
          <w:i w:val="0"/>
          <w:sz w:val="20"/>
        </w:rPr>
        <w:t>150,442</w:t>
      </w:r>
      <w:r>
        <w:rPr>
          <w:rFonts w:ascii="Times New Roman" w:hAnsi="Times New Roman"/>
          <w:b w:val="0"/>
          <w:i w:val="0"/>
          <w:sz w:val="20"/>
        </w:rPr>
        <w:t xml:space="preserve"> vs </w:t>
      </w:r>
      <w:r>
        <w:rPr>
          <w:rFonts w:ascii="Times New Roman" w:hAnsi="Times New Roman"/>
          <w:b w:val="0"/>
          <w:i w:val="0"/>
          <w:sz w:val="20"/>
        </w:rPr>
        <w:t>150,453</w:t>
      </w:r>
      <w:r>
        <w:rPr>
          <w:rFonts w:ascii="Times New Roman" w:hAnsi="Times New Roman"/>
          <w:b w:val="0"/>
          <w:i w:val="0"/>
          <w:sz w:val="20"/>
        </w:rPr>
        <w:t xml:space="preserve"> distinction — descriptor-complete vs vector-complete — recurs across §IV: descriptor-complete analyses (§IV-D through §IV-J, all using accountant-level aggregates or per-signature category counts derived from the same 150,442-signature substrate) use </w:t>
      </w:r>
      <w:r>
        <w:rPr>
          <w:rFonts w:ascii="Times New Roman" w:hAnsi="Times New Roman"/>
          <w:b w:val="0"/>
          <w:i w:val="0"/>
          <w:sz w:val="20"/>
        </w:rPr>
        <w:t>n = 150,442</w:t>
      </w:r>
      <w:r>
        <w:rPr>
          <w:rFonts w:ascii="Times New Roman" w:hAnsi="Times New Roman"/>
          <w:b w:val="0"/>
          <w:i w:val="0"/>
          <w:sz w:val="20"/>
        </w:rPr>
        <w:t xml:space="preserve">; vector- or pair-recomputed analyses (§IV-M.2 Table XXI, §IV-M.3 Table XXII, §IV-M.5 Tables XXIV–XXV; Scripts 40b, 43, 44) use </w:t>
      </w:r>
      <w:r>
        <w:rPr>
          <w:rFonts w:ascii="Times New Roman" w:hAnsi="Times New Roman"/>
          <w:b w:val="0"/>
          <w:i w:val="0"/>
          <w:sz w:val="20"/>
        </w:rPr>
        <w:t>n = 150,453</w:t>
      </w:r>
      <w:r>
        <w:rPr>
          <w:rFonts w:ascii="Times New Roman" w:hAnsi="Times New Roman"/>
          <w:b w:val="0"/>
          <w:i w:val="0"/>
          <w:sz w:val="20"/>
        </w:rPr>
        <w:t xml:space="preserve"> because their pair- or pool-level computations load all vector-complete signatures including those failing the descriptor-complete filter. See §III-G for the sample-size reconciliation.)</w:t>
      </w:r>
    </w:p>
    <w:p>
      <w:pPr>
        <w:spacing w:after="120"/>
      </w:pPr>
      <w:r>
        <w:rPr>
          <w:rFonts w:ascii="Times New Roman" w:hAnsi="Times New Roman"/>
          <w:b w:val="0"/>
          <w:i w:val="0"/>
          <w:sz w:val="20"/>
        </w:rPr>
        <w:t>Per-firm five-way breakdown (% within firm).</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HC</w:t>
            </w:r>
          </w:p>
        </w:tc>
        <w:tc>
          <w:tcPr>
            <w:tcW w:type="dxa" w:w="1234"/>
          </w:tcPr>
          <w:p>
            <w:pPr>
              <w:jc w:val="center"/>
            </w:pPr>
            <w:r/>
            <w:r>
              <w:rPr>
                <w:rFonts w:ascii="Times New Roman" w:hAnsi="Times New Roman"/>
                <w:b/>
                <w:i w:val="0"/>
                <w:sz w:val="16"/>
              </w:rPr>
              <w:t>MC</w:t>
            </w:r>
          </w:p>
        </w:tc>
        <w:tc>
          <w:tcPr>
            <w:tcW w:type="dxa" w:w="1234"/>
          </w:tcPr>
          <w:p>
            <w:pPr>
              <w:jc w:val="center"/>
            </w:pPr>
            <w:r/>
            <w:r>
              <w:rPr>
                <w:rFonts w:ascii="Times New Roman" w:hAnsi="Times New Roman"/>
                <w:b/>
                <w:i w:val="0"/>
                <w:sz w:val="16"/>
              </w:rPr>
              <w:t>HSC</w:t>
            </w:r>
          </w:p>
        </w:tc>
        <w:tc>
          <w:tcPr>
            <w:tcW w:type="dxa" w:w="1234"/>
          </w:tcPr>
          <w:p>
            <w:pPr>
              <w:jc w:val="center"/>
            </w:pPr>
            <w:r/>
            <w:r>
              <w:rPr>
                <w:rFonts w:ascii="Times New Roman" w:hAnsi="Times New Roman"/>
                <w:b/>
                <w:i w:val="0"/>
                <w:sz w:val="16"/>
              </w:rPr>
              <w:t>UN</w:t>
            </w:r>
          </w:p>
        </w:tc>
        <w:tc>
          <w:tcPr>
            <w:tcW w:type="dxa" w:w="1234"/>
          </w:tcPr>
          <w:p>
            <w:pPr>
              <w:jc w:val="center"/>
            </w:pPr>
            <w:r/>
            <w:r>
              <w:rPr>
                <w:rFonts w:ascii="Times New Roman" w:hAnsi="Times New Roman"/>
                <w:b/>
                <w:i w:val="0"/>
                <w:sz w:val="16"/>
              </w:rPr>
              <w:t>LH</w:t>
            </w:r>
          </w:p>
        </w:tc>
        <w:tc>
          <w:tcPr>
            <w:tcW w:type="dxa" w:w="1234"/>
          </w:tcPr>
          <w:p>
            <w:pPr>
              <w:jc w:val="center"/>
            </w:pPr>
            <w:r/>
            <w:r>
              <w:rPr>
                <w:rFonts w:ascii="Times New Roman" w:hAnsi="Times New Roman"/>
                <w:b/>
                <w:i w:val="0"/>
                <w:sz w:val="16"/>
              </w:rPr>
              <w:t>total signatures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81.70%</w:t>
            </w:r>
          </w:p>
        </w:tc>
        <w:tc>
          <w:tcPr>
            <w:tcW w:type="dxa" w:w="1234"/>
          </w:tcPr>
          <w:p>
            <w:pPr>
              <w:jc w:val="center"/>
            </w:pPr>
            <w:r/>
            <w:r>
              <w:rPr>
                <w:rFonts w:ascii="Times New Roman" w:hAnsi="Times New Roman"/>
                <w:b w:val="0"/>
                <w:i w:val="0"/>
                <w:sz w:val="16"/>
              </w:rPr>
              <w:t>10.76%</w:t>
            </w:r>
          </w:p>
        </w:tc>
        <w:tc>
          <w:tcPr>
            <w:tcW w:type="dxa" w:w="1234"/>
          </w:tcPr>
          <w:p>
            <w:pPr>
              <w:jc w:val="center"/>
            </w:pPr>
            <w:r/>
            <w:r>
              <w:rPr>
                <w:rFonts w:ascii="Times New Roman" w:hAnsi="Times New Roman"/>
                <w:b w:val="0"/>
                <w:i w:val="0"/>
                <w:sz w:val="16"/>
              </w:rPr>
              <w:t>0.05%</w:t>
            </w:r>
          </w:p>
        </w:tc>
        <w:tc>
          <w:tcPr>
            <w:tcW w:type="dxa" w:w="1234"/>
          </w:tcPr>
          <w:p>
            <w:pPr>
              <w:jc w:val="center"/>
            </w:pPr>
            <w:r/>
            <w:r>
              <w:rPr>
                <w:rFonts w:ascii="Times New Roman" w:hAnsi="Times New Roman"/>
                <w:b w:val="0"/>
                <w:i w:val="0"/>
                <w:sz w:val="16"/>
              </w:rPr>
              <w:t>7.42%</w:t>
            </w:r>
          </w:p>
        </w:tc>
        <w:tc>
          <w:tcPr>
            <w:tcW w:type="dxa" w:w="1234"/>
          </w:tcPr>
          <w:p>
            <w:pPr>
              <w:jc w:val="center"/>
            </w:pPr>
            <w:r/>
            <w:r>
              <w:rPr>
                <w:rFonts w:ascii="Times New Roman" w:hAnsi="Times New Roman"/>
                <w:b w:val="0"/>
                <w:i w:val="0"/>
                <w:sz w:val="16"/>
              </w:rPr>
              <w:t>0.07%</w:t>
            </w:r>
          </w:p>
        </w:tc>
        <w:tc>
          <w:tcPr>
            <w:tcW w:type="dxa" w:w="1234"/>
          </w:tcPr>
          <w:p>
            <w:pPr>
              <w:jc w:val="center"/>
            </w:pPr>
            <w:r/>
            <w:r>
              <w:rPr>
                <w:rFonts w:ascii="Times New Roman" w:hAnsi="Times New Roman"/>
                <w:b w:val="0"/>
                <w:i w:val="0"/>
                <w:sz w:val="16"/>
              </w:rPr>
              <w:t>60,448</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34.56%</w:t>
            </w:r>
          </w:p>
        </w:tc>
        <w:tc>
          <w:tcPr>
            <w:tcW w:type="dxa" w:w="1234"/>
          </w:tcPr>
          <w:p>
            <w:pPr>
              <w:jc w:val="center"/>
            </w:pPr>
            <w:r/>
            <w:r>
              <w:rPr>
                <w:rFonts w:ascii="Times New Roman" w:hAnsi="Times New Roman"/>
                <w:b w:val="0"/>
                <w:i w:val="0"/>
                <w:sz w:val="16"/>
              </w:rPr>
              <w:t>35.88%</w:t>
            </w:r>
          </w:p>
        </w:tc>
        <w:tc>
          <w:tcPr>
            <w:tcW w:type="dxa" w:w="1234"/>
          </w:tcPr>
          <w:p>
            <w:pPr>
              <w:jc w:val="center"/>
            </w:pPr>
            <w:r/>
            <w:r>
              <w:rPr>
                <w:rFonts w:ascii="Times New Roman" w:hAnsi="Times New Roman"/>
                <w:b w:val="0"/>
                <w:i w:val="0"/>
                <w:sz w:val="16"/>
              </w:rPr>
              <w:t>0.29%</w:t>
            </w:r>
          </w:p>
        </w:tc>
        <w:tc>
          <w:tcPr>
            <w:tcW w:type="dxa" w:w="1234"/>
          </w:tcPr>
          <w:p>
            <w:pPr>
              <w:jc w:val="center"/>
            </w:pPr>
            <w:r/>
            <w:r>
              <w:rPr>
                <w:rFonts w:ascii="Times New Roman" w:hAnsi="Times New Roman"/>
                <w:b w:val="0"/>
                <w:i w:val="0"/>
                <w:sz w:val="16"/>
              </w:rPr>
              <w:t>29.09%</w:t>
            </w:r>
          </w:p>
        </w:tc>
        <w:tc>
          <w:tcPr>
            <w:tcW w:type="dxa" w:w="1234"/>
          </w:tcPr>
          <w:p>
            <w:pPr>
              <w:jc w:val="center"/>
            </w:pPr>
            <w:r/>
            <w:r>
              <w:rPr>
                <w:rFonts w:ascii="Times New Roman" w:hAnsi="Times New Roman"/>
                <w:b w:val="0"/>
                <w:i w:val="0"/>
                <w:sz w:val="16"/>
              </w:rPr>
              <w:t>0.18%</w:t>
            </w:r>
          </w:p>
        </w:tc>
        <w:tc>
          <w:tcPr>
            <w:tcW w:type="dxa" w:w="1234"/>
          </w:tcPr>
          <w:p>
            <w:pPr>
              <w:jc w:val="center"/>
            </w:pPr>
            <w:r/>
            <w:r>
              <w:rPr>
                <w:rFonts w:ascii="Times New Roman" w:hAnsi="Times New Roman"/>
                <w:b w:val="0"/>
                <w:i w:val="0"/>
                <w:sz w:val="16"/>
              </w:rPr>
              <w:t>34,248</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23.75%</w:t>
            </w:r>
          </w:p>
        </w:tc>
        <w:tc>
          <w:tcPr>
            <w:tcW w:type="dxa" w:w="1234"/>
          </w:tcPr>
          <w:p>
            <w:pPr>
              <w:jc w:val="center"/>
            </w:pPr>
            <w:r/>
            <w:r>
              <w:rPr>
                <w:rFonts w:ascii="Times New Roman" w:hAnsi="Times New Roman"/>
                <w:b w:val="0"/>
                <w:i w:val="0"/>
                <w:sz w:val="16"/>
              </w:rPr>
              <w:t>41.44%</w:t>
            </w:r>
          </w:p>
        </w:tc>
        <w:tc>
          <w:tcPr>
            <w:tcW w:type="dxa" w:w="1234"/>
          </w:tcPr>
          <w:p>
            <w:pPr>
              <w:jc w:val="center"/>
            </w:pPr>
            <w:r/>
            <w:r>
              <w:rPr>
                <w:rFonts w:ascii="Times New Roman" w:hAnsi="Times New Roman"/>
                <w:b w:val="0"/>
                <w:i w:val="0"/>
                <w:sz w:val="16"/>
              </w:rPr>
              <w:t>0.38%</w:t>
            </w:r>
          </w:p>
        </w:tc>
        <w:tc>
          <w:tcPr>
            <w:tcW w:type="dxa" w:w="1234"/>
          </w:tcPr>
          <w:p>
            <w:pPr>
              <w:jc w:val="center"/>
            </w:pPr>
            <w:r/>
            <w:r>
              <w:rPr>
                <w:rFonts w:ascii="Times New Roman" w:hAnsi="Times New Roman"/>
                <w:b w:val="0"/>
                <w:i w:val="0"/>
                <w:sz w:val="16"/>
              </w:rPr>
              <w:t>34.21%</w:t>
            </w:r>
          </w:p>
        </w:tc>
        <w:tc>
          <w:tcPr>
            <w:tcW w:type="dxa" w:w="1234"/>
          </w:tcPr>
          <w:p>
            <w:pPr>
              <w:jc w:val="center"/>
            </w:pPr>
            <w:r/>
            <w:r>
              <w:rPr>
                <w:rFonts w:ascii="Times New Roman" w:hAnsi="Times New Roman"/>
                <w:b w:val="0"/>
                <w:i w:val="0"/>
                <w:sz w:val="16"/>
              </w:rPr>
              <w:t>0.22%</w:t>
            </w:r>
          </w:p>
        </w:tc>
        <w:tc>
          <w:tcPr>
            <w:tcW w:type="dxa" w:w="1234"/>
          </w:tcPr>
          <w:p>
            <w:pPr>
              <w:jc w:val="center"/>
            </w:pPr>
            <w:r/>
            <w:r>
              <w:rPr>
                <w:rFonts w:ascii="Times New Roman" w:hAnsi="Times New Roman"/>
                <w:b w:val="0"/>
                <w:i w:val="0"/>
                <w:sz w:val="16"/>
              </w:rPr>
              <w:t>38,613</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24.51%</w:t>
            </w:r>
          </w:p>
        </w:tc>
        <w:tc>
          <w:tcPr>
            <w:tcW w:type="dxa" w:w="1234"/>
          </w:tcPr>
          <w:p>
            <w:pPr>
              <w:jc w:val="center"/>
            </w:pPr>
            <w:r/>
            <w:r>
              <w:rPr>
                <w:rFonts w:ascii="Times New Roman" w:hAnsi="Times New Roman"/>
                <w:b w:val="0"/>
                <w:i w:val="0"/>
                <w:sz w:val="16"/>
              </w:rPr>
              <w:t>29.33%</w:t>
            </w:r>
          </w:p>
        </w:tc>
        <w:tc>
          <w:tcPr>
            <w:tcW w:type="dxa" w:w="1234"/>
          </w:tcPr>
          <w:p>
            <w:pPr>
              <w:jc w:val="center"/>
            </w:pPr>
            <w:r/>
            <w:r>
              <w:rPr>
                <w:rFonts w:ascii="Times New Roman" w:hAnsi="Times New Roman"/>
                <w:b w:val="0"/>
                <w:i w:val="0"/>
                <w:sz w:val="16"/>
              </w:rPr>
              <w:t>0.22%</w:t>
            </w:r>
          </w:p>
        </w:tc>
        <w:tc>
          <w:tcPr>
            <w:tcW w:type="dxa" w:w="1234"/>
          </w:tcPr>
          <w:p>
            <w:pPr>
              <w:jc w:val="center"/>
            </w:pPr>
            <w:r/>
            <w:r>
              <w:rPr>
                <w:rFonts w:ascii="Times New Roman" w:hAnsi="Times New Roman"/>
                <w:b w:val="0"/>
                <w:i w:val="0"/>
                <w:sz w:val="16"/>
              </w:rPr>
              <w:t>45.65%</w:t>
            </w:r>
          </w:p>
        </w:tc>
        <w:tc>
          <w:tcPr>
            <w:tcW w:type="dxa" w:w="1234"/>
          </w:tcPr>
          <w:p>
            <w:pPr>
              <w:jc w:val="center"/>
            </w:pPr>
            <w:r/>
            <w:r>
              <w:rPr>
                <w:rFonts w:ascii="Times New Roman" w:hAnsi="Times New Roman"/>
                <w:b w:val="0"/>
                <w:i w:val="0"/>
                <w:sz w:val="16"/>
              </w:rPr>
              <w:t>0.29%</w:t>
            </w:r>
          </w:p>
        </w:tc>
        <w:tc>
          <w:tcPr>
            <w:tcW w:type="dxa" w:w="1234"/>
          </w:tcPr>
          <w:p>
            <w:pPr>
              <w:jc w:val="center"/>
            </w:pPr>
            <w:r/>
            <w:r>
              <w:rPr>
                <w:rFonts w:ascii="Times New Roman" w:hAnsi="Times New Roman"/>
                <w:b w:val="0"/>
                <w:i w:val="0"/>
                <w:sz w:val="16"/>
              </w:rPr>
              <w:t>17,133</w:t>
            </w:r>
          </w:p>
        </w:tc>
      </w:tr>
    </w:tbl>
    <w:p/>
    <w:p>
      <w:pPr>
        <w:spacing w:after="120"/>
      </w:pPr>
      <w:r>
        <w:rPr>
          <w:rFonts w:ascii="Times New Roman" w:hAnsi="Times New Roman"/>
          <w:b w:val="0"/>
          <w:i w:val="0"/>
          <w:sz w:val="20"/>
        </w:rPr>
        <w:t>(Source: Script 42 per-firm cross-tab.) The per-firm pattern qualitatively aligns with the K=3 cluster cross-tab of Table XVII: Firm A's signatures concentrate in the HC band (81.70%) while its CPAs concentrate at the accountant level in the K=3 C3 (high-cos / low-dHash) component (82.46%; Table XVII). These two figures address different units (per-signature classification vs per-CPA hard cluster assignment) and are not directly comparable as a like-for-like consistency check; we report the qualitative alignment but do not infer a numerical equivalence. The three non-Firm-A Big-4 firms have markedly lower HC rates than Firm A and substantially higher Uncertain rates, with Firm D having the highest Uncertain rate (45.65%).</w:t>
      </w:r>
    </w:p>
    <w:p>
      <w:pPr>
        <w:spacing w:after="120"/>
      </w:pPr>
      <w:r>
        <w:rPr>
          <w:rFonts w:ascii="Times New Roman" w:hAnsi="Times New Roman"/>
          <w:b w:val="0"/>
          <w:i w:val="0"/>
          <w:sz w:val="20"/>
        </w:rPr>
        <w:t>Document-level worst-case aggregation. Each audit report typically carries two certifying-CPA signatures. We aggregate signature-level outcomes to document-level labels using the worst-case rule (HC &gt; MC &gt; HSC &gt; UN &gt; LH; §III-H.1), applied to the Big-4 sub-corpus.</w:t>
      </w:r>
    </w:p>
    <w:p>
      <w:pPr>
        <w:spacing w:after="120"/>
      </w:pPr>
      <w:r>
        <w:rPr>
          <w:rFonts w:ascii="Times New Roman" w:hAnsi="Times New Roman"/>
          <w:b w:val="0"/>
          <w:i w:val="0"/>
          <w:sz w:val="20"/>
        </w:rPr>
        <w:t xml:space="preserve">Table XVI. Document-level worst-case category counts, Big-4 sub-corpus, </w:t>
      </w:r>
      <w:r>
        <w:rPr>
          <w:rFonts w:ascii="Times New Roman" w:hAnsi="Times New Roman"/>
          <w:b w:val="0"/>
          <w:i w:val="0"/>
          <w:sz w:val="20"/>
        </w:rPr>
        <w:t>n = 75,233</w:t>
      </w:r>
      <w:r>
        <w:rPr>
          <w:rFonts w:ascii="Times New Roman" w:hAnsi="Times New Roman"/>
          <w:b w:val="0"/>
          <w:i w:val="0"/>
          <w:sz w:val="20"/>
        </w:rPr>
        <w:t xml:space="preserve"> unique PDFs.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Category</w:t>
            </w:r>
          </w:p>
        </w:tc>
        <w:tc>
          <w:tcPr>
            <w:tcW w:type="dxa" w:w="2160"/>
          </w:tcPr>
          <w:p>
            <w:pPr>
              <w:jc w:val="center"/>
            </w:pPr>
            <w:r/>
            <w:r>
              <w:rPr>
                <w:rFonts w:ascii="Times New Roman" w:hAnsi="Times New Roman"/>
                <w:b/>
                <w:i w:val="0"/>
                <w:sz w:val="16"/>
              </w:rPr>
              <w:t>Long name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documents</w:t>
            </w:r>
          </w:p>
        </w:tc>
        <w:tc>
          <w:tcPr>
            <w:tcW w:type="dxa" w:w="2160"/>
          </w:tcPr>
          <w:p>
            <w:pPr>
              <w:jc w:val="center"/>
            </w:pPr>
            <w:r/>
            <w:r>
              <w:rPr>
                <w:rFonts w:ascii="Times New Roman" w:hAnsi="Times New Roman"/>
                <w:b/>
                <w:i w:val="0"/>
                <w:sz w:val="16"/>
              </w:rPr>
              <w:t>%</w:t>
            </w:r>
          </w:p>
        </w:tc>
      </w:tr>
      <w:tr>
        <w:tc>
          <w:tcPr>
            <w:tcW w:type="dxa" w:w="2160"/>
          </w:tcPr>
          <w:p>
            <w:pPr>
              <w:jc w:val="center"/>
            </w:pPr>
            <w:r/>
            <w:r>
              <w:rPr>
                <w:rFonts w:ascii="Times New Roman" w:hAnsi="Times New Roman"/>
                <w:b w:val="0"/>
                <w:i w:val="0"/>
                <w:sz w:val="16"/>
              </w:rPr>
              <w:t>HC</w:t>
            </w:r>
          </w:p>
        </w:tc>
        <w:tc>
          <w:tcPr>
            <w:tcW w:type="dxa" w:w="2160"/>
          </w:tcPr>
          <w:p>
            <w:pPr>
              <w:jc w:val="center"/>
            </w:pPr>
            <w:r/>
            <w:r>
              <w:rPr>
                <w:rFonts w:ascii="Times New Roman" w:hAnsi="Times New Roman"/>
                <w:b w:val="0"/>
                <w:i w:val="0"/>
                <w:sz w:val="16"/>
              </w:rPr>
              <w:t>High-confidence non-hand-signed</w:t>
            </w:r>
          </w:p>
        </w:tc>
        <w:tc>
          <w:tcPr>
            <w:tcW w:type="dxa" w:w="2160"/>
          </w:tcPr>
          <w:p>
            <w:pPr>
              <w:jc w:val="center"/>
            </w:pPr>
            <w:r/>
            <w:r>
              <w:rPr>
                <w:rFonts w:ascii="Times New Roman" w:hAnsi="Times New Roman"/>
                <w:b w:val="0"/>
                <w:i w:val="0"/>
                <w:sz w:val="16"/>
              </w:rPr>
              <w:t>46,857</w:t>
            </w:r>
          </w:p>
        </w:tc>
        <w:tc>
          <w:tcPr>
            <w:tcW w:type="dxa" w:w="2160"/>
          </w:tcPr>
          <w:p>
            <w:pPr>
              <w:jc w:val="center"/>
            </w:pPr>
            <w:r/>
            <w:r>
              <w:rPr>
                <w:rFonts w:ascii="Times New Roman" w:hAnsi="Times New Roman"/>
                <w:b w:val="0"/>
                <w:i w:val="0"/>
                <w:sz w:val="16"/>
              </w:rPr>
              <w:t>62.28%</w:t>
            </w:r>
          </w:p>
        </w:tc>
      </w:tr>
      <w:tr>
        <w:tc>
          <w:tcPr>
            <w:tcW w:type="dxa" w:w="2160"/>
          </w:tcPr>
          <w:p>
            <w:pPr>
              <w:jc w:val="center"/>
            </w:pPr>
            <w:r/>
            <w:r>
              <w:rPr>
                <w:rFonts w:ascii="Times New Roman" w:hAnsi="Times New Roman"/>
                <w:b w:val="0"/>
                <w:i w:val="0"/>
                <w:sz w:val="16"/>
              </w:rPr>
              <w:t>MC</w:t>
            </w:r>
          </w:p>
        </w:tc>
        <w:tc>
          <w:tcPr>
            <w:tcW w:type="dxa" w:w="2160"/>
          </w:tcPr>
          <w:p>
            <w:pPr>
              <w:jc w:val="center"/>
            </w:pPr>
            <w:r/>
            <w:r>
              <w:rPr>
                <w:rFonts w:ascii="Times New Roman" w:hAnsi="Times New Roman"/>
                <w:b w:val="0"/>
                <w:i w:val="0"/>
                <w:sz w:val="16"/>
              </w:rPr>
              <w:t>Moderate-confidence non-hand-signed</w:t>
            </w:r>
          </w:p>
        </w:tc>
        <w:tc>
          <w:tcPr>
            <w:tcW w:type="dxa" w:w="2160"/>
          </w:tcPr>
          <w:p>
            <w:pPr>
              <w:jc w:val="center"/>
            </w:pPr>
            <w:r/>
            <w:r>
              <w:rPr>
                <w:rFonts w:ascii="Times New Roman" w:hAnsi="Times New Roman"/>
                <w:b w:val="0"/>
                <w:i w:val="0"/>
                <w:sz w:val="16"/>
              </w:rPr>
              <w:t>19,667</w:t>
            </w:r>
          </w:p>
        </w:tc>
        <w:tc>
          <w:tcPr>
            <w:tcW w:type="dxa" w:w="2160"/>
          </w:tcPr>
          <w:p>
            <w:pPr>
              <w:jc w:val="center"/>
            </w:pPr>
            <w:r/>
            <w:r>
              <w:rPr>
                <w:rFonts w:ascii="Times New Roman" w:hAnsi="Times New Roman"/>
                <w:b w:val="0"/>
                <w:i w:val="0"/>
                <w:sz w:val="16"/>
              </w:rPr>
              <w:t>26.14%</w:t>
            </w:r>
          </w:p>
        </w:tc>
      </w:tr>
      <w:tr>
        <w:tc>
          <w:tcPr>
            <w:tcW w:type="dxa" w:w="2160"/>
          </w:tcPr>
          <w:p>
            <w:pPr>
              <w:jc w:val="center"/>
            </w:pPr>
            <w:r/>
            <w:r>
              <w:rPr>
                <w:rFonts w:ascii="Times New Roman" w:hAnsi="Times New Roman"/>
                <w:b w:val="0"/>
                <w:i w:val="0"/>
                <w:sz w:val="16"/>
              </w:rPr>
              <w:t>HSC</w:t>
            </w:r>
          </w:p>
        </w:tc>
        <w:tc>
          <w:tcPr>
            <w:tcW w:type="dxa" w:w="2160"/>
          </w:tcPr>
          <w:p>
            <w:pPr>
              <w:jc w:val="center"/>
            </w:pPr>
            <w:r/>
            <w:r>
              <w:rPr>
                <w:rFonts w:ascii="Times New Roman" w:hAnsi="Times New Roman"/>
                <w:b w:val="0"/>
                <w:i w:val="0"/>
                <w:sz w:val="16"/>
              </w:rPr>
              <w:t>High style consistency</w:t>
            </w:r>
          </w:p>
        </w:tc>
        <w:tc>
          <w:tcPr>
            <w:tcW w:type="dxa" w:w="2160"/>
          </w:tcPr>
          <w:p>
            <w:pPr>
              <w:jc w:val="center"/>
            </w:pPr>
            <w:r/>
            <w:r>
              <w:rPr>
                <w:rFonts w:ascii="Times New Roman" w:hAnsi="Times New Roman"/>
                <w:b w:val="0"/>
                <w:i w:val="0"/>
                <w:sz w:val="16"/>
              </w:rPr>
              <w:t>167</w:t>
            </w:r>
          </w:p>
        </w:tc>
        <w:tc>
          <w:tcPr>
            <w:tcW w:type="dxa" w:w="2160"/>
          </w:tcPr>
          <w:p>
            <w:pPr>
              <w:jc w:val="center"/>
            </w:pPr>
            <w:r/>
            <w:r>
              <w:rPr>
                <w:rFonts w:ascii="Times New Roman" w:hAnsi="Times New Roman"/>
                <w:b w:val="0"/>
                <w:i w:val="0"/>
                <w:sz w:val="16"/>
              </w:rPr>
              <w:t>0.22%</w:t>
            </w:r>
          </w:p>
        </w:tc>
      </w:tr>
      <w:tr>
        <w:tc>
          <w:tcPr>
            <w:tcW w:type="dxa" w:w="2160"/>
          </w:tcPr>
          <w:p>
            <w:pPr>
              <w:jc w:val="center"/>
            </w:pPr>
            <w:r/>
            <w:r>
              <w:rPr>
                <w:rFonts w:ascii="Times New Roman" w:hAnsi="Times New Roman"/>
                <w:b w:val="0"/>
                <w:i w:val="0"/>
                <w:sz w:val="16"/>
              </w:rPr>
              <w:t>UN</w:t>
            </w:r>
          </w:p>
        </w:tc>
        <w:tc>
          <w:tcPr>
            <w:tcW w:type="dxa" w:w="2160"/>
          </w:tcPr>
          <w:p>
            <w:pPr>
              <w:jc w:val="center"/>
            </w:pPr>
            <w:r/>
            <w:r>
              <w:rPr>
                <w:rFonts w:ascii="Times New Roman" w:hAnsi="Times New Roman"/>
                <w:b w:val="0"/>
                <w:i w:val="0"/>
                <w:sz w:val="16"/>
              </w:rPr>
              <w:t>Uncertain</w:t>
            </w:r>
          </w:p>
        </w:tc>
        <w:tc>
          <w:tcPr>
            <w:tcW w:type="dxa" w:w="2160"/>
          </w:tcPr>
          <w:p>
            <w:pPr>
              <w:jc w:val="center"/>
            </w:pPr>
            <w:r/>
            <w:r>
              <w:rPr>
                <w:rFonts w:ascii="Times New Roman" w:hAnsi="Times New Roman"/>
                <w:b w:val="0"/>
                <w:i w:val="0"/>
                <w:sz w:val="16"/>
              </w:rPr>
              <w:t>8,524</w:t>
            </w:r>
          </w:p>
        </w:tc>
        <w:tc>
          <w:tcPr>
            <w:tcW w:type="dxa" w:w="2160"/>
          </w:tcPr>
          <w:p>
            <w:pPr>
              <w:jc w:val="center"/>
            </w:pPr>
            <w:r/>
            <w:r>
              <w:rPr>
                <w:rFonts w:ascii="Times New Roman" w:hAnsi="Times New Roman"/>
                <w:b w:val="0"/>
                <w:i w:val="0"/>
                <w:sz w:val="16"/>
              </w:rPr>
              <w:t>11.33%</w:t>
            </w:r>
          </w:p>
        </w:tc>
      </w:tr>
      <w:tr>
        <w:tc>
          <w:tcPr>
            <w:tcW w:type="dxa" w:w="2160"/>
          </w:tcPr>
          <w:p>
            <w:pPr>
              <w:jc w:val="center"/>
            </w:pPr>
            <w:r/>
            <w:r>
              <w:rPr>
                <w:rFonts w:ascii="Times New Roman" w:hAnsi="Times New Roman"/>
                <w:b w:val="0"/>
                <w:i w:val="0"/>
                <w:sz w:val="16"/>
              </w:rPr>
              <w:t>LH</w:t>
            </w:r>
          </w:p>
        </w:tc>
        <w:tc>
          <w:tcPr>
            <w:tcW w:type="dxa" w:w="2160"/>
          </w:tcPr>
          <w:p>
            <w:pPr>
              <w:jc w:val="center"/>
            </w:pPr>
            <w:r/>
            <w:r>
              <w:rPr>
                <w:rFonts w:ascii="Times New Roman" w:hAnsi="Times New Roman"/>
                <w:b w:val="0"/>
                <w:i w:val="0"/>
                <w:sz w:val="16"/>
              </w:rPr>
              <w:t>Likely hand-signed</w:t>
            </w:r>
          </w:p>
        </w:tc>
        <w:tc>
          <w:tcPr>
            <w:tcW w:type="dxa" w:w="2160"/>
          </w:tcPr>
          <w:p>
            <w:pPr>
              <w:jc w:val="center"/>
            </w:pPr>
            <w:r/>
            <w:r>
              <w:rPr>
                <w:rFonts w:ascii="Times New Roman" w:hAnsi="Times New Roman"/>
                <w:b w:val="0"/>
                <w:i w:val="0"/>
                <w:sz w:val="16"/>
              </w:rPr>
              <w:t>18</w:t>
            </w:r>
          </w:p>
        </w:tc>
        <w:tc>
          <w:tcPr>
            <w:tcW w:type="dxa" w:w="2160"/>
          </w:tcPr>
          <w:p>
            <w:pPr>
              <w:jc w:val="center"/>
            </w:pPr>
            <w:r/>
            <w:r>
              <w:rPr>
                <w:rFonts w:ascii="Times New Roman" w:hAnsi="Times New Roman"/>
                <w:b w:val="0"/>
                <w:i w:val="0"/>
                <w:sz w:val="16"/>
              </w:rPr>
              <w:t>0.02%</w:t>
            </w:r>
          </w:p>
        </w:tc>
      </w:tr>
    </w:tbl>
    <w:p/>
    <w:p>
      <w:pPr>
        <w:spacing w:after="120"/>
      </w:pPr>
      <w:r>
        <w:rPr>
          <w:rFonts w:ascii="Times New Roman" w:hAnsi="Times New Roman"/>
          <w:b w:val="0"/>
          <w:i w:val="0"/>
          <w:sz w:val="20"/>
        </w:rPr>
        <w:t>(Source: Script 42 document-level table; 379 of 75,233 PDFs carried signatures from more than one Big-4 firm and are reported in the single-firm-PDF per-firm breakdown of the script CSV but pooled into the overall counts here.)</w:t>
      </w:r>
    </w:p>
    <w:p>
      <w:pPr>
        <w:spacing w:after="120"/>
      </w:pPr>
      <w:r>
        <w:rPr>
          <w:rFonts w:ascii="Times New Roman" w:hAnsi="Times New Roman"/>
          <w:b w:val="0"/>
          <w:i w:val="0"/>
          <w:sz w:val="20"/>
        </w:rPr>
        <w:t>Per-firm document-level breakdown (single-firm PDFs only).</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HC</w:t>
            </w:r>
          </w:p>
        </w:tc>
        <w:tc>
          <w:tcPr>
            <w:tcW w:type="dxa" w:w="1234"/>
          </w:tcPr>
          <w:p>
            <w:pPr>
              <w:jc w:val="center"/>
            </w:pPr>
            <w:r/>
            <w:r>
              <w:rPr>
                <w:rFonts w:ascii="Times New Roman" w:hAnsi="Times New Roman"/>
                <w:b/>
                <w:i w:val="0"/>
                <w:sz w:val="16"/>
              </w:rPr>
              <w:t>MC</w:t>
            </w:r>
          </w:p>
        </w:tc>
        <w:tc>
          <w:tcPr>
            <w:tcW w:type="dxa" w:w="1234"/>
          </w:tcPr>
          <w:p>
            <w:pPr>
              <w:jc w:val="center"/>
            </w:pPr>
            <w:r/>
            <w:r>
              <w:rPr>
                <w:rFonts w:ascii="Times New Roman" w:hAnsi="Times New Roman"/>
                <w:b/>
                <w:i w:val="0"/>
                <w:sz w:val="16"/>
              </w:rPr>
              <w:t>HSC</w:t>
            </w:r>
          </w:p>
        </w:tc>
        <w:tc>
          <w:tcPr>
            <w:tcW w:type="dxa" w:w="1234"/>
          </w:tcPr>
          <w:p>
            <w:pPr>
              <w:jc w:val="center"/>
            </w:pPr>
            <w:r/>
            <w:r>
              <w:rPr>
                <w:rFonts w:ascii="Times New Roman" w:hAnsi="Times New Roman"/>
                <w:b/>
                <w:i w:val="0"/>
                <w:sz w:val="16"/>
              </w:rPr>
              <w:t>UN</w:t>
            </w:r>
          </w:p>
        </w:tc>
        <w:tc>
          <w:tcPr>
            <w:tcW w:type="dxa" w:w="1234"/>
          </w:tcPr>
          <w:p>
            <w:pPr>
              <w:jc w:val="center"/>
            </w:pPr>
            <w:r/>
            <w:r>
              <w:rPr>
                <w:rFonts w:ascii="Times New Roman" w:hAnsi="Times New Roman"/>
                <w:b/>
                <w:i w:val="0"/>
                <w:sz w:val="16"/>
              </w:rPr>
              <w:t>LH</w:t>
            </w:r>
          </w:p>
        </w:tc>
        <w:tc>
          <w:tcPr>
            <w:tcW w:type="dxa" w:w="1234"/>
          </w:tcPr>
          <w:p>
            <w:pPr>
              <w:jc w:val="center"/>
            </w:pPr>
            <w:r/>
            <w:r>
              <w:rPr>
                <w:rFonts w:ascii="Times New Roman" w:hAnsi="Times New Roman"/>
                <w:b/>
                <w:i w:val="0"/>
                <w:sz w:val="16"/>
              </w:rPr>
              <w:t>total docs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27,600</w:t>
            </w:r>
          </w:p>
        </w:tc>
        <w:tc>
          <w:tcPr>
            <w:tcW w:type="dxa" w:w="1234"/>
          </w:tcPr>
          <w:p>
            <w:pPr>
              <w:jc w:val="center"/>
            </w:pPr>
            <w:r/>
            <w:r>
              <w:rPr>
                <w:rFonts w:ascii="Times New Roman" w:hAnsi="Times New Roman"/>
                <w:b w:val="0"/>
                <w:i w:val="0"/>
                <w:sz w:val="16"/>
              </w:rPr>
              <w:t>1,857</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758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30,226</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8,783</w:t>
            </w:r>
          </w:p>
        </w:tc>
        <w:tc>
          <w:tcPr>
            <w:tcW w:type="dxa" w:w="1234"/>
          </w:tcPr>
          <w:p>
            <w:pPr>
              <w:jc w:val="center"/>
            </w:pPr>
            <w:r/>
            <w:r>
              <w:rPr>
                <w:rFonts w:ascii="Times New Roman" w:hAnsi="Times New Roman"/>
                <w:b w:val="0"/>
                <w:i w:val="0"/>
                <w:sz w:val="16"/>
              </w:rPr>
              <w:t>6,079</w:t>
            </w:r>
          </w:p>
        </w:tc>
        <w:tc>
          <w:tcPr>
            <w:tcW w:type="dxa" w:w="1234"/>
          </w:tcPr>
          <w:p>
            <w:pPr>
              <w:jc w:val="center"/>
            </w:pPr>
            <w:r/>
            <w:r>
              <w:rPr>
                <w:rFonts w:ascii="Times New Roman" w:hAnsi="Times New Roman"/>
                <w:b w:val="0"/>
                <w:i w:val="0"/>
                <w:sz w:val="16"/>
              </w:rPr>
              <w:t>57</w:t>
            </w:r>
          </w:p>
        </w:tc>
        <w:tc>
          <w:tcPr>
            <w:tcW w:type="dxa" w:w="1234"/>
          </w:tcPr>
          <w:p>
            <w:pPr>
              <w:jc w:val="center"/>
            </w:pPr>
            <w:r/>
            <w:r>
              <w:rPr>
                <w:rFonts w:ascii="Times New Roman" w:hAnsi="Times New Roman"/>
                <w:b w:val="0"/>
                <w:i w:val="0"/>
                <w:sz w:val="16"/>
              </w:rPr>
              <w:t>2,202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17,127</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7,281</w:t>
            </w:r>
          </w:p>
        </w:tc>
        <w:tc>
          <w:tcPr>
            <w:tcW w:type="dxa" w:w="1234"/>
          </w:tcPr>
          <w:p>
            <w:pPr>
              <w:jc w:val="center"/>
            </w:pPr>
            <w:r/>
            <w:r>
              <w:rPr>
                <w:rFonts w:ascii="Times New Roman" w:hAnsi="Times New Roman"/>
                <w:b w:val="0"/>
                <w:i w:val="0"/>
                <w:sz w:val="16"/>
              </w:rPr>
              <w:t>8,660</w:t>
            </w:r>
          </w:p>
        </w:tc>
        <w:tc>
          <w:tcPr>
            <w:tcW w:type="dxa" w:w="1234"/>
          </w:tcPr>
          <w:p>
            <w:pPr>
              <w:jc w:val="center"/>
            </w:pPr>
            <w:r/>
            <w:r>
              <w:rPr>
                <w:rFonts w:ascii="Times New Roman" w:hAnsi="Times New Roman"/>
                <w:b w:val="0"/>
                <w:i w:val="0"/>
                <w:sz w:val="16"/>
              </w:rPr>
              <w:t>77</w:t>
            </w:r>
          </w:p>
        </w:tc>
        <w:tc>
          <w:tcPr>
            <w:tcW w:type="dxa" w:w="1234"/>
          </w:tcPr>
          <w:p>
            <w:pPr>
              <w:jc w:val="center"/>
            </w:pPr>
            <w:r/>
            <w:r>
              <w:rPr>
                <w:rFonts w:ascii="Times New Roman" w:hAnsi="Times New Roman"/>
                <w:b w:val="0"/>
                <w:i w:val="0"/>
                <w:sz w:val="16"/>
              </w:rPr>
              <w:t>3,099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19,122</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3,100</w:t>
            </w:r>
          </w:p>
        </w:tc>
        <w:tc>
          <w:tcPr>
            <w:tcW w:type="dxa" w:w="1234"/>
          </w:tcPr>
          <w:p>
            <w:pPr>
              <w:jc w:val="center"/>
            </w:pPr>
            <w:r/>
            <w:r>
              <w:rPr>
                <w:rFonts w:ascii="Times New Roman" w:hAnsi="Times New Roman"/>
                <w:b w:val="0"/>
                <w:i w:val="0"/>
                <w:sz w:val="16"/>
              </w:rPr>
              <w:t>2,838</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2,416</w:t>
            </w:r>
          </w:p>
        </w:tc>
        <w:tc>
          <w:tcPr>
            <w:tcW w:type="dxa" w:w="1234"/>
          </w:tcPr>
          <w:p>
            <w:pPr>
              <w:jc w:val="center"/>
            </w:pPr>
            <w:r/>
            <w:r>
              <w:rPr>
                <w:rFonts w:ascii="Times New Roman" w:hAnsi="Times New Roman"/>
                <w:b w:val="0"/>
                <w:i w:val="0"/>
                <w:sz w:val="16"/>
              </w:rPr>
              <w:t>3</w:t>
            </w:r>
          </w:p>
        </w:tc>
        <w:tc>
          <w:tcPr>
            <w:tcW w:type="dxa" w:w="1234"/>
          </w:tcPr>
          <w:p>
            <w:pPr>
              <w:jc w:val="center"/>
            </w:pPr>
            <w:r/>
            <w:r>
              <w:rPr>
                <w:rFonts w:ascii="Times New Roman" w:hAnsi="Times New Roman"/>
                <w:b w:val="0"/>
                <w:i w:val="0"/>
                <w:sz w:val="16"/>
              </w:rPr>
              <w:t>8,379</w:t>
            </w:r>
          </w:p>
        </w:tc>
      </w:tr>
    </w:tbl>
    <w:p/>
    <w:p>
      <w:pPr>
        <w:spacing w:after="120"/>
      </w:pPr>
      <w:r>
        <w:rPr>
          <w:rFonts w:ascii="Times New Roman" w:hAnsi="Times New Roman"/>
          <w:b w:val="0"/>
          <w:i w:val="0"/>
          <w:sz w:val="20"/>
        </w:rPr>
        <w:t xml:space="preserve">(Source: Script 42; mixed-firm PDFs </w:t>
      </w:r>
      <w:r>
        <w:rPr>
          <w:rFonts w:ascii="Times New Roman" w:hAnsi="Times New Roman"/>
          <w:b w:val="0"/>
          <w:i w:val="0"/>
          <w:sz w:val="20"/>
        </w:rPr>
        <w:t>n = 379</w:t>
      </w:r>
      <w:r>
        <w:rPr>
          <w:rFonts w:ascii="Times New Roman" w:hAnsi="Times New Roman"/>
          <w:b w:val="0"/>
          <w:i w:val="0"/>
          <w:sz w:val="20"/>
        </w:rPr>
        <w:t xml:space="preserve"> excluded from the per-firm rows but included in the overall counts above.)</w:t>
      </w:r>
    </w:p>
    <w:p>
      <w:pPr>
        <w:spacing w:after="120"/>
      </w:pPr>
      <w:r>
        <w:rPr>
          <w:rFonts w:ascii="Times New Roman" w:hAnsi="Times New Roman"/>
          <w:b w:val="0"/>
          <w:i w:val="0"/>
          <w:sz w:val="20"/>
        </w:rPr>
        <w:t xml:space="preserve">The five-way moderate-confidence non-hand-signed band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xml:space="preserve">) retains its prior calibration (supplementary materials); it is not separately re-characterised by Scripts 38–40, which checked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The moderate-band cuts are not re-derived on the Big-4 subset; we report the Table XV per-firm MC proportions (10.76% / 35.88% / 41.44% / 29.33% across Firms A through D) descriptively. The capture-rate calibration evidence for the moderate band is reported in the supplementary materials and not regenerated on the Big-4 subset. We do not claim that the MC-band per-firm ordering above is a separate validation of the §III-K Spearman convergence, since MC occupancy is not a monotone function of the per-CPA less-replication-dominated ranking (e.g., Firm D's MC fraction is lower than Firm B's while Firm D's reverse-anchor score ranks it as less replication-dominated than Firm B).</w:t>
      </w:r>
    </w:p>
    <w:p>
      <w:pPr>
        <w:spacing w:after="120"/>
      </w:pPr>
      <w:r>
        <w:rPr>
          <w:rFonts w:ascii="Times New Roman" w:hAnsi="Times New Roman"/>
          <w:b w:val="0"/>
          <w:i w:val="0"/>
          <w:sz w:val="20"/>
        </w:rPr>
        <w:t>Table XVII. Firm × K=3 cluster cross-tabulation, Big-4 sub-corpus.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n</w:t>
            </w:r>
          </w:p>
        </w:tc>
        <w:tc>
          <w:tcPr>
            <w:tcW w:type="dxa" w:w="1234"/>
          </w:tcPr>
          <w:p>
            <w:pPr>
              <w:jc w:val="center"/>
            </w:pPr>
            <w:r/>
            <w:r>
              <w:rPr>
                <w:rFonts w:ascii="Times New Roman" w:hAnsi="Times New Roman"/>
                <w:b/>
                <w:i w:val="0"/>
                <w:sz w:val="16"/>
              </w:rPr>
              <w:t>C1 (low-cos / high-dHash)</w:t>
            </w:r>
          </w:p>
        </w:tc>
        <w:tc>
          <w:tcPr>
            <w:tcW w:type="dxa" w:w="1234"/>
          </w:tcPr>
          <w:p>
            <w:pPr>
              <w:jc w:val="center"/>
            </w:pPr>
            <w:r/>
            <w:r>
              <w:rPr>
                <w:rFonts w:ascii="Times New Roman" w:hAnsi="Times New Roman"/>
                <w:b/>
                <w:i w:val="0"/>
                <w:sz w:val="16"/>
              </w:rPr>
              <w:t>C2 (central)</w:t>
            </w:r>
          </w:p>
        </w:tc>
        <w:tc>
          <w:tcPr>
            <w:tcW w:type="dxa" w:w="1234"/>
          </w:tcPr>
          <w:p>
            <w:pPr>
              <w:jc w:val="center"/>
            </w:pPr>
            <w:r/>
            <w:r>
              <w:rPr>
                <w:rFonts w:ascii="Times New Roman" w:hAnsi="Times New Roman"/>
                <w:b/>
                <w:i w:val="0"/>
                <w:sz w:val="16"/>
              </w:rPr>
              <w:t>C3 (high-cos / low-dHash)</w:t>
            </w:r>
          </w:p>
        </w:tc>
        <w:tc>
          <w:tcPr>
            <w:tcW w:type="dxa" w:w="1234"/>
          </w:tcPr>
          <w:p>
            <w:pPr>
              <w:jc w:val="center"/>
            </w:pPr>
            <w:r/>
            <w:r>
              <w:rPr>
                <w:rFonts w:ascii="Times New Roman" w:hAnsi="Times New Roman"/>
                <w:b/>
                <w:i w:val="0"/>
                <w:sz w:val="16"/>
              </w:rPr>
              <w:t>C1 %</w:t>
            </w:r>
          </w:p>
        </w:tc>
        <w:tc>
          <w:tcPr>
            <w:tcW w:type="dxa" w:w="1234"/>
          </w:tcPr>
          <w:p>
            <w:pPr>
              <w:jc w:val="center"/>
            </w:pPr>
            <w:r/>
            <w:r>
              <w:rPr>
                <w:rFonts w:ascii="Times New Roman" w:hAnsi="Times New Roman"/>
                <w:b/>
                <w:i w:val="0"/>
                <w:sz w:val="16"/>
              </w:rPr>
              <w:t>C3 %</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171</w:t>
            </w:r>
          </w:p>
        </w:tc>
        <w:tc>
          <w:tcPr>
            <w:tcW w:type="dxa" w:w="1234"/>
          </w:tcPr>
          <w:p>
            <w:pPr>
              <w:jc w:val="center"/>
            </w:pPr>
            <w:r/>
            <w:r>
              <w:rPr>
                <w:rFonts w:ascii="Times New Roman" w:hAnsi="Times New Roman"/>
                <w:b w:val="0"/>
                <w:i w:val="0"/>
                <w:sz w:val="16"/>
              </w:rPr>
              <w:t>0</w:t>
            </w:r>
          </w:p>
        </w:tc>
        <w:tc>
          <w:tcPr>
            <w:tcW w:type="dxa" w:w="1234"/>
          </w:tcPr>
          <w:p>
            <w:pPr>
              <w:jc w:val="center"/>
            </w:pPr>
            <w:r/>
            <w:r>
              <w:rPr>
                <w:rFonts w:ascii="Times New Roman" w:hAnsi="Times New Roman"/>
                <w:b w:val="0"/>
                <w:i w:val="0"/>
                <w:sz w:val="16"/>
              </w:rPr>
              <w:t>30</w:t>
            </w:r>
          </w:p>
        </w:tc>
        <w:tc>
          <w:tcPr>
            <w:tcW w:type="dxa" w:w="1234"/>
          </w:tcPr>
          <w:p>
            <w:pPr>
              <w:jc w:val="center"/>
            </w:pPr>
            <w:r/>
            <w:r>
              <w:rPr>
                <w:rFonts w:ascii="Times New Roman" w:hAnsi="Times New Roman"/>
                <w:b w:val="0"/>
                <w:i w:val="0"/>
                <w:sz w:val="16"/>
              </w:rPr>
              <w:t>141</w:t>
            </w:r>
          </w:p>
        </w:tc>
        <w:tc>
          <w:tcPr>
            <w:tcW w:type="dxa" w:w="1234"/>
          </w:tcPr>
          <w:p>
            <w:pPr>
              <w:jc w:val="center"/>
            </w:pPr>
            <w:r/>
            <w:r>
              <w:rPr>
                <w:rFonts w:ascii="Times New Roman" w:hAnsi="Times New Roman"/>
                <w:b w:val="0"/>
                <w:i w:val="0"/>
                <w:sz w:val="16"/>
              </w:rPr>
              <w:t>0.00%</w:t>
            </w:r>
          </w:p>
        </w:tc>
        <w:tc>
          <w:tcPr>
            <w:tcW w:type="dxa" w:w="1234"/>
          </w:tcPr>
          <w:p>
            <w:pPr>
              <w:jc w:val="center"/>
            </w:pPr>
            <w:r/>
            <w:r>
              <w:rPr>
                <w:rFonts w:ascii="Times New Roman" w:hAnsi="Times New Roman"/>
                <w:b w:val="0"/>
                <w:i w:val="0"/>
                <w:sz w:val="16"/>
              </w:rPr>
              <w:t>82.46%</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112</w:t>
            </w:r>
          </w:p>
        </w:tc>
        <w:tc>
          <w:tcPr>
            <w:tcW w:type="dxa" w:w="1234"/>
          </w:tcPr>
          <w:p>
            <w:pPr>
              <w:jc w:val="center"/>
            </w:pPr>
            <w:r/>
            <w:r>
              <w:rPr>
                <w:rFonts w:ascii="Times New Roman" w:hAnsi="Times New Roman"/>
                <w:b w:val="0"/>
                <w:i w:val="0"/>
                <w:sz w:val="16"/>
              </w:rPr>
              <w:t>10</w:t>
            </w:r>
          </w:p>
        </w:tc>
        <w:tc>
          <w:tcPr>
            <w:tcW w:type="dxa" w:w="1234"/>
          </w:tcPr>
          <w:p>
            <w:pPr>
              <w:jc w:val="center"/>
            </w:pPr>
            <w:r/>
            <w:r>
              <w:rPr>
                <w:rFonts w:ascii="Times New Roman" w:hAnsi="Times New Roman"/>
                <w:b w:val="0"/>
                <w:i w:val="0"/>
                <w:sz w:val="16"/>
              </w:rPr>
              <w:t>102</w:t>
            </w:r>
          </w:p>
        </w:tc>
        <w:tc>
          <w:tcPr>
            <w:tcW w:type="dxa" w:w="1234"/>
          </w:tcPr>
          <w:p>
            <w:pPr>
              <w:jc w:val="center"/>
            </w:pPr>
            <w:r/>
            <w:r>
              <w:rPr>
                <w:rFonts w:ascii="Times New Roman" w:hAnsi="Times New Roman"/>
                <w:b w:val="0"/>
                <w:i w:val="0"/>
                <w:sz w:val="16"/>
              </w:rPr>
              <w:t>0</w:t>
            </w:r>
          </w:p>
        </w:tc>
        <w:tc>
          <w:tcPr>
            <w:tcW w:type="dxa" w:w="1234"/>
          </w:tcPr>
          <w:p>
            <w:pPr>
              <w:jc w:val="center"/>
            </w:pPr>
            <w:r/>
            <w:r>
              <w:rPr>
                <w:rFonts w:ascii="Times New Roman" w:hAnsi="Times New Roman"/>
                <w:b w:val="0"/>
                <w:i w:val="0"/>
                <w:sz w:val="16"/>
              </w:rPr>
              <w:t>8.93%</w:t>
            </w:r>
          </w:p>
        </w:tc>
        <w:tc>
          <w:tcPr>
            <w:tcW w:type="dxa" w:w="1234"/>
          </w:tcPr>
          <w:p>
            <w:pPr>
              <w:jc w:val="center"/>
            </w:pPr>
            <w:r/>
            <w:r>
              <w:rPr>
                <w:rFonts w:ascii="Times New Roman" w:hAnsi="Times New Roman"/>
                <w:b w:val="0"/>
                <w:i w:val="0"/>
                <w:sz w:val="16"/>
              </w:rPr>
              <w:t>0.00%</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102</w:t>
            </w:r>
          </w:p>
        </w:tc>
        <w:tc>
          <w:tcPr>
            <w:tcW w:type="dxa" w:w="1234"/>
          </w:tcPr>
          <w:p>
            <w:pPr>
              <w:jc w:val="center"/>
            </w:pPr>
            <w:r/>
            <w:r>
              <w:rPr>
                <w:rFonts w:ascii="Times New Roman" w:hAnsi="Times New Roman"/>
                <w:b w:val="0"/>
                <w:i w:val="0"/>
                <w:sz w:val="16"/>
              </w:rPr>
              <w:t>24</w:t>
            </w:r>
          </w:p>
        </w:tc>
        <w:tc>
          <w:tcPr>
            <w:tcW w:type="dxa" w:w="1234"/>
          </w:tcPr>
          <w:p>
            <w:pPr>
              <w:jc w:val="center"/>
            </w:pPr>
            <w:r/>
            <w:r>
              <w:rPr>
                <w:rFonts w:ascii="Times New Roman" w:hAnsi="Times New Roman"/>
                <w:b w:val="0"/>
                <w:i w:val="0"/>
                <w:sz w:val="16"/>
              </w:rPr>
              <w:t>77</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23.53%</w:t>
            </w:r>
          </w:p>
        </w:tc>
        <w:tc>
          <w:tcPr>
            <w:tcW w:type="dxa" w:w="1234"/>
          </w:tcPr>
          <w:p>
            <w:pPr>
              <w:jc w:val="center"/>
            </w:pPr>
            <w:r/>
            <w:r>
              <w:rPr>
                <w:rFonts w:ascii="Times New Roman" w:hAnsi="Times New Roman"/>
                <w:b w:val="0"/>
                <w:i w:val="0"/>
                <w:sz w:val="16"/>
              </w:rPr>
              <w:t>0.98%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52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45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11.54%</w:t>
            </w:r>
          </w:p>
        </w:tc>
        <w:tc>
          <w:tcPr>
            <w:tcW w:type="dxa" w:w="1234"/>
          </w:tcPr>
          <w:p>
            <w:pPr>
              <w:jc w:val="center"/>
            </w:pPr>
            <w:r/>
            <w:r>
              <w:rPr>
                <w:rFonts w:ascii="Times New Roman" w:hAnsi="Times New Roman"/>
                <w:b w:val="0"/>
                <w:i w:val="0"/>
                <w:sz w:val="16"/>
              </w:rPr>
              <w:t>1.92%</w:t>
            </w:r>
          </w:p>
        </w:tc>
      </w:tr>
    </w:tbl>
    <w:p/>
    <w:p>
      <w:pPr>
        <w:spacing w:after="120"/>
      </w:pPr>
      <w:r>
        <w:rPr>
          <w:rFonts w:ascii="Times New Roman" w:hAnsi="Times New Roman"/>
          <w:b w:val="0"/>
          <w:i w:val="0"/>
          <w:sz w:val="20"/>
        </w:rPr>
        <w:t xml:space="preserve">(Source: Script 35.) The cross-tab is the accountant-level descriptive output of the K=3 mixture (§III-J / §IV-E). It is reported here as a complement to the five-way per-signature classifier (Table XV), not as an operational classifier output. Reading: Firm A's CPAs are concentrated in the C3 (high-cos / low-dHash) component (no Firm A CPAs in C1); Firm C has the highest C1 (low-cos / high-dHash) concentration of the Big-4 (C1 fraction </w:t>
      </w:r>
      <w:r>
        <w:rPr>
          <w:rFonts w:ascii="Times New Roman" w:hAnsi="Times New Roman"/>
          <w:b w:val="0"/>
          <w:i w:val="0"/>
          <w:sz w:val="20"/>
        </w:rPr>
        <w:t>23.5%</w:t>
      </w:r>
      <w:r>
        <w:rPr>
          <w:rFonts w:ascii="Times New Roman" w:hAnsi="Times New Roman"/>
          <w:b w:val="0"/>
          <w:i w:val="0"/>
          <w:sz w:val="20"/>
        </w:rPr>
        <w:t>); Firms B and D sit between A and C on the K=3 hard-label ordering, broadly consistent with the per-firm Spearman ordering of Table X (with the within-Big-4-non-A reverse-anchor disagreement noted there).</w:t>
      </w:r>
    </w:p>
    <w:p>
      <w:pPr>
        <w:spacing w:after="120"/>
      </w:pPr>
      <w:r>
        <w:rPr>
          <w:rFonts w:ascii="Times New Roman" w:hAnsi="Times New Roman"/>
          <w:b w:val="0"/>
          <w:i w:val="0"/>
          <w:sz w:val="20"/>
        </w:rPr>
        <w:t>Document-level worst-case aggregation outputs are reported in Table XVI above.</w:t>
      </w:r>
    </w:p>
    <w:p>
      <w:pPr>
        <w:pStyle w:val="Heading2"/>
      </w:pPr>
      <w:r>
        <w:rPr>
          <w:color w:val="000000"/>
        </w:rPr>
        <w:t>K. Full-Dataset Robustness (light scope)</w:t>
      </w:r>
    </w:p>
    <w:p>
      <w:pPr>
        <w:spacing w:after="120"/>
      </w:pPr>
      <w:r>
        <w:rPr>
          <w:rFonts w:ascii="Times New Roman" w:hAnsi="Times New Roman"/>
          <w:b w:val="0"/>
          <w:i w:val="0"/>
          <w:sz w:val="20"/>
        </w:rPr>
        <w:t>This section reports the reproducibility cross-check at the full accountant scope (</w:t>
      </w:r>
      <w:r>
        <w:rPr>
          <w:rFonts w:ascii="Times New Roman" w:hAnsi="Times New Roman"/>
          <w:b w:val="0"/>
          <w:i w:val="0"/>
          <w:sz w:val="20"/>
        </w:rPr>
        <w:t>n = 686</w:t>
      </w:r>
      <w:r>
        <w:rPr>
          <w:rFonts w:ascii="Times New Roman" w:hAnsi="Times New Roman"/>
          <w:b w:val="0"/>
          <w:i w:val="0"/>
          <w:sz w:val="20"/>
        </w:rPr>
        <w:t xml:space="preserve"> CPAs, Big-4 plus mid/small firms). The scope of §IV-K is deliberately narrow: we re-run only the K=3 mixture + deployed operational-rule per-CPA less-replication-dominated rate analysis, sufficient to demonstrate that the K=3 + deployed-rule convergence reproduces at the wider scope. The §III-H.1 five-way classifier and the §IV-G LOOO analyses are not re-run at the full scope. The five-way moderate-confidence band retains its prior calibration (supplementary materials; §IV-J).</w:t>
      </w:r>
    </w:p>
    <w:p>
      <w:pPr>
        <w:spacing w:after="120"/>
      </w:pPr>
      <w:r>
        <w:rPr>
          <w:rFonts w:ascii="Times New Roman" w:hAnsi="Times New Roman"/>
          <w:b w:val="0"/>
          <w:i w:val="0"/>
          <w:sz w:val="20"/>
        </w:rPr>
        <w:t>Table XVIII. K=3 component comparison, Big-4 sub-corpus vs full dataset.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K=3 component</w:t>
            </w:r>
          </w:p>
        </w:tc>
        <w:tc>
          <w:tcPr>
            <w:tcW w:type="dxa" w:w="2160"/>
          </w:tcPr>
          <w:p>
            <w:pPr>
              <w:jc w:val="center"/>
            </w:pPr>
            <w:r/>
            <w:r>
              <w:rPr>
                <w:rFonts w:ascii="Times New Roman" w:hAnsi="Times New Roman"/>
                <w:b/>
                <w:i w:val="0"/>
                <w:sz w:val="16"/>
              </w:rPr>
              <w:t>Big-4 (n=437) cos / dHash / weight</w:t>
            </w:r>
          </w:p>
        </w:tc>
        <w:tc>
          <w:tcPr>
            <w:tcW w:type="dxa" w:w="2160"/>
          </w:tcPr>
          <w:p>
            <w:pPr>
              <w:jc w:val="center"/>
            </w:pPr>
            <w:r/>
            <w:r>
              <w:rPr>
                <w:rFonts w:ascii="Times New Roman" w:hAnsi="Times New Roman"/>
                <w:b/>
                <w:i w:val="0"/>
                <w:sz w:val="16"/>
              </w:rPr>
              <w:t>Full (n=686) cos / dHash / weight</w:t>
            </w:r>
          </w:p>
        </w:tc>
        <w:tc>
          <w:tcPr>
            <w:tcW w:type="dxa" w:w="2160"/>
          </w:tcPr>
          <w:p>
            <w:pPr>
              <w:jc w:val="center"/>
            </w:pPr>
            <w:r/>
            <w:r>
              <w:rPr>
                <w:rFonts w:ascii="Times New Roman" w:hAnsi="Times New Roman"/>
                <w:b/>
                <w:i w:val="0"/>
                <w:sz w:val="16"/>
              </w:rPr>
              <w:t>Drift Big-4 → Full</w:t>
            </w:r>
          </w:p>
        </w:tc>
      </w:tr>
      <w:tr>
        <w:tc>
          <w:tcPr>
            <w:tcW w:type="dxa" w:w="2160"/>
          </w:tcPr>
          <w:p>
            <w:pPr>
              <w:jc w:val="center"/>
            </w:pPr>
            <w:r/>
            <w:r>
              <w:rPr>
                <w:rFonts w:ascii="Times New Roman" w:hAnsi="Times New Roman"/>
                <w:b w:val="0"/>
                <w:i w:val="0"/>
                <w:sz w:val="16"/>
              </w:rPr>
              <w:t>C1 (low-cos / high-dHash)</w:t>
            </w:r>
          </w:p>
        </w:tc>
        <w:tc>
          <w:tcPr>
            <w:tcW w:type="dxa" w:w="2160"/>
          </w:tcPr>
          <w:p>
            <w:pPr>
              <w:jc w:val="center"/>
            </w:pPr>
            <w:r/>
            <w:r>
              <w:rPr>
                <w:rFonts w:ascii="Times New Roman" w:hAnsi="Times New Roman"/>
                <w:b w:val="0"/>
                <w:i w:val="0"/>
                <w:sz w:val="16"/>
              </w:rPr>
              <w:t>0.9457 / 9.17 / 0.143</w:t>
            </w:r>
          </w:p>
        </w:tc>
        <w:tc>
          <w:tcPr>
            <w:tcW w:type="dxa" w:w="2160"/>
          </w:tcPr>
          <w:p>
            <w:pPr>
              <w:jc w:val="center"/>
            </w:pPr>
            <w:r/>
            <w:r>
              <w:rPr>
                <w:rFonts w:ascii="Times New Roman" w:hAnsi="Times New Roman"/>
                <w:b w:val="0"/>
                <w:i w:val="0"/>
                <w:sz w:val="16"/>
              </w:rPr>
              <w:t>0.9278 / 11.17 / 0.284</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0.018, dHash 1.99, wt 0.141</w:t>
            </w:r>
          </w:p>
        </w:tc>
      </w:tr>
      <w:tr>
        <w:tc>
          <w:tcPr>
            <w:tcW w:type="dxa" w:w="2160"/>
          </w:tcPr>
          <w:p>
            <w:pPr>
              <w:jc w:val="center"/>
            </w:pPr>
            <w:r/>
            <w:r>
              <w:rPr>
                <w:rFonts w:ascii="Times New Roman" w:hAnsi="Times New Roman"/>
                <w:b w:val="0"/>
                <w:i w:val="0"/>
                <w:sz w:val="16"/>
              </w:rPr>
              <w:t>C2 (central)</w:t>
            </w:r>
          </w:p>
        </w:tc>
        <w:tc>
          <w:tcPr>
            <w:tcW w:type="dxa" w:w="2160"/>
          </w:tcPr>
          <w:p>
            <w:pPr>
              <w:jc w:val="center"/>
            </w:pPr>
            <w:r/>
            <w:r>
              <w:rPr>
                <w:rFonts w:ascii="Times New Roman" w:hAnsi="Times New Roman"/>
                <w:b w:val="0"/>
                <w:i w:val="0"/>
                <w:sz w:val="16"/>
              </w:rPr>
              <w:t>0.9558 / 6.66 / 0.536</w:t>
            </w:r>
          </w:p>
        </w:tc>
        <w:tc>
          <w:tcPr>
            <w:tcW w:type="dxa" w:w="2160"/>
          </w:tcPr>
          <w:p>
            <w:pPr>
              <w:jc w:val="center"/>
            </w:pPr>
            <w:r/>
            <w:r>
              <w:rPr>
                <w:rFonts w:ascii="Times New Roman" w:hAnsi="Times New Roman"/>
                <w:b w:val="0"/>
                <w:i w:val="0"/>
                <w:sz w:val="16"/>
              </w:rPr>
              <w:t>0.9535 / 6.99 / 0.512</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0.002, dHash 0.33, wt 0.024</w:t>
            </w:r>
          </w:p>
        </w:tc>
      </w:tr>
      <w:tr>
        <w:tc>
          <w:tcPr>
            <w:tcW w:type="dxa" w:w="2160"/>
          </w:tcPr>
          <w:p>
            <w:pPr>
              <w:jc w:val="center"/>
            </w:pPr>
            <w:r/>
            <w:r>
              <w:rPr>
                <w:rFonts w:ascii="Times New Roman" w:hAnsi="Times New Roman"/>
                <w:b w:val="0"/>
                <w:i w:val="0"/>
                <w:sz w:val="16"/>
              </w:rPr>
              <w:t>C3 (high-cos / low-dHash)</w:t>
            </w:r>
          </w:p>
        </w:tc>
        <w:tc>
          <w:tcPr>
            <w:tcW w:type="dxa" w:w="2160"/>
          </w:tcPr>
          <w:p>
            <w:pPr>
              <w:jc w:val="center"/>
            </w:pPr>
            <w:r/>
            <w:r>
              <w:rPr>
                <w:rFonts w:ascii="Times New Roman" w:hAnsi="Times New Roman"/>
                <w:b w:val="0"/>
                <w:i w:val="0"/>
                <w:sz w:val="16"/>
              </w:rPr>
              <w:t>0.9826 / 2.41 / 0.321</w:t>
            </w:r>
          </w:p>
        </w:tc>
        <w:tc>
          <w:tcPr>
            <w:tcW w:type="dxa" w:w="2160"/>
          </w:tcPr>
          <w:p>
            <w:pPr>
              <w:jc w:val="center"/>
            </w:pPr>
            <w:r/>
            <w:r>
              <w:rPr>
                <w:rFonts w:ascii="Times New Roman" w:hAnsi="Times New Roman"/>
                <w:b w:val="0"/>
                <w:i w:val="0"/>
                <w:sz w:val="16"/>
              </w:rPr>
              <w:t>0.9826 / 2.40 / 0.205</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0.000, dHash 0.01, wt 0.117</w:t>
            </w:r>
          </w:p>
        </w:tc>
      </w:tr>
    </w:tbl>
    <w:p/>
    <w:p>
      <w:pPr>
        <w:spacing w:after="120"/>
      </w:pPr>
      <w:r>
        <w:rPr>
          <w:rFonts w:ascii="Times New Roman" w:hAnsi="Times New Roman"/>
          <w:b w:val="0"/>
          <w:i w:val="0"/>
          <w:sz w:val="20"/>
        </w:rPr>
        <w:t xml:space="preserve">(Source: Script 41; full-dataset </w:t>
      </w:r>
      <w:r>
        <w:rPr>
          <w:rFonts w:ascii="Times New Roman" w:hAnsi="Times New Roman"/>
          <w:b w:val="0"/>
          <w:i w:val="0"/>
          <w:sz w:val="20"/>
        </w:rPr>
        <w:t>BIC(K=3) = -792.31</w:t>
      </w:r>
      <w:r>
        <w:rPr>
          <w:rFonts w:ascii="Times New Roman" w:hAnsi="Times New Roman"/>
          <w:b w:val="0"/>
          <w:i w:val="0"/>
          <w:sz w:val="20"/>
        </w:rPr>
        <w:t xml:space="preserve"> vs Big-4 </w:t>
      </w:r>
      <w:r>
        <w:rPr>
          <w:rFonts w:ascii="Times New Roman" w:hAnsi="Times New Roman"/>
          <w:b w:val="0"/>
          <w:i w:val="0"/>
          <w:sz w:val="20"/>
        </w:rPr>
        <w:t>BIC(K=3) = -1111.93</w:t>
      </w:r>
      <w:r>
        <w:rPr>
          <w:rFonts w:ascii="Times New Roman" w:hAnsi="Times New Roman"/>
          <w:b w:val="0"/>
          <w:i w:val="0"/>
          <w:sz w:val="20"/>
        </w:rPr>
        <w:t xml:space="preserve">; BIC values are not directly comparable across different </w:t>
      </w:r>
      <w:r>
        <w:rPr>
          <w:rFonts w:ascii="Times New Roman" w:hAnsi="Times New Roman"/>
          <w:b w:val="0"/>
          <w:i w:val="0"/>
          <w:sz w:val="20"/>
        </w:rPr>
        <w:t>n</w:t>
      </w:r>
      <w:r>
        <w:rPr>
          <w:rFonts w:ascii="Times New Roman" w:hAnsi="Times New Roman"/>
          <w:b w:val="0"/>
          <w:i w:val="0"/>
          <w:sz w:val="20"/>
        </w:rPr>
        <w:t xml:space="preserve"> and are reported only for completeness.)</w:t>
      </w:r>
    </w:p>
    <w:p>
      <w:pPr>
        <w:spacing w:after="120"/>
      </w:pPr>
      <w:r>
        <w:rPr>
          <w:rFonts w:ascii="Times New Roman" w:hAnsi="Times New Roman"/>
          <w:b w:val="0"/>
          <w:i w:val="0"/>
          <w:sz w:val="20"/>
        </w:rPr>
        <w:t>Table XIX. Spearman rank correlation between K=3 P(C1) and deployed operational less-replication-dominated rate, Big-4 sub-corpus vs full dataset.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2160"/>
          </w:tcPr>
          <w:p>
            <w:pPr>
              <w:jc w:val="center"/>
            </w:pPr>
            <w:r/>
            <w:r>
              <w:rPr>
                <w:rFonts w:ascii="Times New Roman" w:hAnsi="Times New Roman"/>
                <w:b/>
                <w:i w:val="0"/>
                <w:sz w:val="16"/>
              </w:rPr>
              <w:t xml:space="preserve">Spearman </w:t>
            </w:r>
            <w:r>
              <w:rPr>
                <w:rFonts w:ascii="Times New Roman" w:hAnsi="Times New Roman"/>
                <w:b/>
                <w:i w:val="0"/>
                <w:sz w:val="16"/>
              </w:rPr>
              <w:t>ρ</w:t>
            </w:r>
            <w:r>
              <w:rPr>
                <w:rFonts w:ascii="Times New Roman" w:hAnsi="Times New Roman"/>
                <w:b/>
                <w:i w:val="0"/>
                <w:sz w:val="16"/>
              </w:rPr>
              <w:t xml:space="preserve"> (P(C1) vs deployed less-replication-dominated rate)</w:t>
            </w:r>
          </w:p>
        </w:tc>
        <w:tc>
          <w:tcPr>
            <w:tcW w:type="dxa" w:w="2160"/>
          </w:tcPr>
          <w:p>
            <w:pPr>
              <w:jc w:val="center"/>
            </w:pPr>
            <w:r/>
            <w:r>
              <w:rPr>
                <w:rFonts w:ascii="Times New Roman" w:hAnsi="Times New Roman"/>
                <w:b/>
                <w:i w:val="0"/>
                <w:sz w:val="16"/>
              </w:rPr>
              <w:t>p</w:t>
            </w:r>
            <w:r>
              <w:rPr>
                <w:rFonts w:ascii="Times New Roman" w:hAnsi="Times New Roman"/>
                <w:b/>
                <w:i w:val="0"/>
                <w:sz w:val="16"/>
              </w:rPr>
              <w:t>-value</w:t>
            </w:r>
          </w:p>
        </w:tc>
      </w:tr>
      <w:tr>
        <w:tc>
          <w:tcPr>
            <w:tcW w:type="dxa" w:w="2160"/>
          </w:tcPr>
          <w:p>
            <w:pPr>
              <w:jc w:val="center"/>
            </w:pPr>
            <w:r/>
            <w:r>
              <w:rPr>
                <w:rFonts w:ascii="Times New Roman" w:hAnsi="Times New Roman"/>
                <w:b w:val="0"/>
                <w:i w:val="0"/>
                <w:sz w:val="16"/>
              </w:rPr>
              <w:t>Big-4 (primary)</w:t>
            </w:r>
          </w:p>
        </w:tc>
        <w:tc>
          <w:tcPr>
            <w:tcW w:type="dxa" w:w="2160"/>
          </w:tcPr>
          <w:p>
            <w:pPr>
              <w:jc w:val="center"/>
            </w:pPr>
            <w:r/>
            <w:r>
              <w:rPr>
                <w:rFonts w:ascii="Times New Roman" w:hAnsi="Times New Roman"/>
                <w:b w:val="0"/>
                <w:i w:val="0"/>
                <w:sz w:val="16"/>
              </w:rPr>
              <w:t>437</w:t>
            </w:r>
          </w:p>
        </w:tc>
        <w:tc>
          <w:tcPr>
            <w:tcW w:type="dxa" w:w="2160"/>
          </w:tcPr>
          <w:p>
            <w:pPr>
              <w:jc w:val="center"/>
            </w:pPr>
            <w:r/>
            <w:r>
              <w:rPr>
                <w:rFonts w:ascii="Times New Roman" w:hAnsi="Times New Roman"/>
                <w:b w:val="0"/>
                <w:i w:val="0"/>
                <w:sz w:val="16"/>
              </w:rPr>
              <w:t>+0.9627</w:t>
            </w:r>
          </w:p>
        </w:tc>
        <w:tc>
          <w:tcPr>
            <w:tcW w:type="dxa" w:w="216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160"/>
          </w:tcPr>
          <w:p>
            <w:pPr>
              <w:jc w:val="center"/>
            </w:pPr>
            <w:r/>
            <w:r>
              <w:rPr>
                <w:rFonts w:ascii="Times New Roman" w:hAnsi="Times New Roman"/>
                <w:b w:val="0"/>
                <w:i w:val="0"/>
                <w:sz w:val="16"/>
              </w:rPr>
              <w:t>Full dataset</w:t>
            </w:r>
          </w:p>
        </w:tc>
        <w:tc>
          <w:tcPr>
            <w:tcW w:type="dxa" w:w="2160"/>
          </w:tcPr>
          <w:p>
            <w:pPr>
              <w:jc w:val="center"/>
            </w:pPr>
            <w:r/>
            <w:r>
              <w:rPr>
                <w:rFonts w:ascii="Times New Roman" w:hAnsi="Times New Roman"/>
                <w:b w:val="0"/>
                <w:i w:val="0"/>
                <w:sz w:val="16"/>
              </w:rPr>
              <w:t>686</w:t>
            </w:r>
          </w:p>
        </w:tc>
        <w:tc>
          <w:tcPr>
            <w:tcW w:type="dxa" w:w="2160"/>
          </w:tcPr>
          <w:p>
            <w:pPr>
              <w:jc w:val="center"/>
            </w:pPr>
            <w:r/>
            <w:r>
              <w:rPr>
                <w:rFonts w:ascii="Times New Roman" w:hAnsi="Times New Roman"/>
                <w:b w:val="0"/>
                <w:i w:val="0"/>
                <w:sz w:val="16"/>
              </w:rPr>
              <w:t>+0.9558</w:t>
            </w:r>
          </w:p>
        </w:tc>
        <w:tc>
          <w:tcPr>
            <w:tcW w:type="dxa" w:w="2160"/>
          </w:tcPr>
          <w:p>
            <w:pPr>
              <w:jc w:val="center"/>
            </w:pPr>
            <w:r/>
            <w:r>
              <w:rPr>
                <w:rFonts w:ascii="Times New Roman" w:hAnsi="Times New Roman"/>
                <w:b w:val="0"/>
                <w:i w:val="0"/>
                <w:sz w:val="16"/>
              </w:rPr>
              <w:t>&lt; 10</w:t>
            </w:r>
            <w:r>
              <w:rPr>
                <w:rFonts w:ascii="Times New Roman" w:hAnsi="Times New Roman"/>
                <w:b w:val="0"/>
                <w:i w:val="0"/>
                <w:sz w:val="16"/>
                <w:vertAlign w:val="superscript"/>
              </w:rPr>
              <w:t>-300</w:t>
            </w:r>
          </w:p>
        </w:tc>
      </w:tr>
      <w:tr>
        <w:tc>
          <w:tcPr>
            <w:tcW w:type="dxa" w:w="2160"/>
          </w:tcPr>
          <w:p>
            <w:pPr>
              <w:jc w:val="center"/>
            </w:pPr>
            <w:r/>
            <w:r>
              <w:rPr>
                <w:rFonts w:ascii="Times New Roman" w:hAnsi="Times New Roman"/>
                <w:b w:val="0"/>
                <w:i w:val="0"/>
                <w:sz w:val="16"/>
              </w:rPr>
              <w:t>|ρ</w:t>
            </w:r>
            <w:r>
              <w:rPr>
                <w:rFonts w:ascii="Times New Roman" w:hAnsi="Times New Roman"/>
                <w:b w:val="0"/>
                <w:i w:val="0"/>
                <w:sz w:val="16"/>
                <w:vertAlign w:val="subscript"/>
              </w:rPr>
              <w:t>full</w:t>
            </w:r>
            <w:r>
              <w:rPr>
                <w:rFonts w:ascii="Times New Roman" w:hAnsi="Times New Roman"/>
                <w:b w:val="0"/>
                <w:i w:val="0"/>
                <w:sz w:val="16"/>
              </w:rPr>
              <w:t xml:space="preserve"> - ρ</w:t>
            </w:r>
            <w:r>
              <w:rPr>
                <w:rFonts w:ascii="Times New Roman" w:hAnsi="Times New Roman"/>
                <w:b w:val="0"/>
                <w:i w:val="0"/>
                <w:sz w:val="16"/>
                <w:vertAlign w:val="subscript"/>
              </w:rPr>
              <w:t>Big-4</w:t>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0.0069</w:t>
            </w:r>
          </w:p>
        </w:tc>
        <w:tc>
          <w:tcPr>
            <w:tcW w:type="dxa" w:w="2160"/>
          </w:tcPr>
          <w:p>
            <w:pPr>
              <w:jc w:val="center"/>
            </w:pPr>
            <w:r/>
            <w:r>
              <w:rPr>
                <w:rFonts w:ascii="Times New Roman" w:hAnsi="Times New Roman"/>
                <w:b w:val="0"/>
                <w:i w:val="0"/>
                <w:sz w:val="16"/>
              </w:rPr>
              <w:t>—</w:t>
            </w:r>
          </w:p>
        </w:tc>
      </w:tr>
    </w:tbl>
    <w:p/>
    <w:p>
      <w:pPr>
        <w:spacing w:after="120"/>
      </w:pPr>
      <w:r>
        <w:rPr>
          <w:rFonts w:ascii="Times New Roman" w:hAnsi="Times New Roman"/>
          <w:b w:val="0"/>
          <w:i w:val="0"/>
          <w:sz w:val="20"/>
        </w:rPr>
        <w:t>(Source: Script 41.)</w:t>
      </w:r>
    </w:p>
    <w:p>
      <w:pPr>
        <w:spacing w:after="120"/>
      </w:pPr>
      <w:r>
        <w:rPr>
          <w:rFonts w:ascii="Times New Roman" w:hAnsi="Times New Roman"/>
          <w:b w:val="0"/>
          <w:i w:val="0"/>
          <w:sz w:val="20"/>
        </w:rPr>
        <w:t xml:space="preserve">Reading. The K=3 component ordering and the strong Spearman convergence between K=3 P(C1) and the deployed box-rule less-replication-dominated rate are preserved at the full scope. Component centres shift modestly: C3 (high-cos / low-dHash) is essentially unchanged in centre but loses weight </w:t>
      </w:r>
      <w:r>
        <w:rPr>
          <w:rFonts w:ascii="Times New Roman" w:hAnsi="Times New Roman"/>
          <w:b w:val="0"/>
          <w:i w:val="0"/>
          <w:sz w:val="20"/>
        </w:rPr>
        <w:t>0.117</w:t>
      </w:r>
      <w:r>
        <w:rPr>
          <w:rFonts w:ascii="Times New Roman" w:hAnsi="Times New Roman"/>
          <w:b w:val="0"/>
          <w:i w:val="0"/>
          <w:sz w:val="20"/>
        </w:rPr>
        <w:t xml:space="preserve"> as the full population includes more non-templated CPAs (mid/small firms); C1 (low-cos / high-dHash) gains weight </w:t>
      </w:r>
      <w:r>
        <w:rPr>
          <w:rFonts w:ascii="Times New Roman" w:hAnsi="Times New Roman"/>
          <w:b w:val="0"/>
          <w:i w:val="0"/>
          <w:sz w:val="20"/>
        </w:rPr>
        <w:t>0.141</w:t>
      </w:r>
      <w:r>
        <w:rPr>
          <w:rFonts w:ascii="Times New Roman" w:hAnsi="Times New Roman"/>
          <w:b w:val="0"/>
          <w:i w:val="0"/>
          <w:sz w:val="20"/>
        </w:rPr>
        <w:t xml:space="preserve"> and shifts to lower cosine and higher dHash (centre </w:t>
      </w:r>
      <w:r>
        <w:rPr>
          <w:rFonts w:ascii="Times New Roman" w:hAnsi="Times New Roman"/>
          <w:b w:val="0"/>
          <w:i w:val="0"/>
          <w:sz w:val="20"/>
        </w:rPr>
        <w:t>(0.928, 11.17)</w:t>
      </w:r>
      <w:r>
        <w:rPr>
          <w:rFonts w:ascii="Times New Roman" w:hAnsi="Times New Roman"/>
          <w:b w:val="0"/>
          <w:i w:val="0"/>
          <w:sz w:val="20"/>
        </w:rPr>
        <w:t xml:space="preserve"> vs Big-4 </w:t>
      </w:r>
      <w:r>
        <w:rPr>
          <w:rFonts w:ascii="Times New Roman" w:hAnsi="Times New Roman"/>
          <w:b w:val="0"/>
          <w:i w:val="0"/>
          <w:sz w:val="20"/>
        </w:rPr>
        <w:t>(0.946, 9.17)</w:t>
      </w:r>
      <w:r>
        <w:rPr>
          <w:rFonts w:ascii="Times New Roman" w:hAnsi="Times New Roman"/>
          <w:b w:val="0"/>
          <w:i w:val="0"/>
          <w:sz w:val="20"/>
        </w:rPr>
        <w:t>) as the broader population includes mid/small-firm CPAs landing toward the low-cos / high-dHash region that the Big-4-primary scope deliberately excludes. We read this as evidence that the Big-4-primary K=3 + deployed-rule convergence is not a Big-4-specific artefact; we do not read it as an endorsement of using full-dataset K=3 component centres or operational thresholds in place of the Big-4-primary analysis. Mid/small-firm composition shifts the component centres meaningfully and the primary methodology is restricted to Big-4 by design (§III-G item 4).</w:t>
      </w:r>
    </w:p>
    <w:p>
      <w:pPr>
        <w:pStyle w:val="Heading2"/>
      </w:pPr>
      <w:r>
        <w:rPr>
          <w:color w:val="000000"/>
        </w:rPr>
        <w:t>L. Ablation Study: Feature Backbone Comparison</w:t>
      </w:r>
    </w:p>
    <w:p>
      <w:pPr>
        <w:spacing w:after="120"/>
      </w:pPr>
      <w:r>
        <w:rPr>
          <w:rFonts w:ascii="Times New Roman" w:hAnsi="Times New Roman"/>
          <w:b w:val="0"/>
          <w:i w:val="0"/>
          <w:sz w:val="20"/>
        </w:rPr>
        <w:t>To support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The comparison summary is reported in the supplementary materials (backbone-ablation table; not the same table as Table XIX in this section, which reports Big-4 vs full-dataset Spearman drift in §IV-K).</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b w:val="0"/>
          <w:i w:val="0"/>
          <w:sz w:val="20"/>
        </w:rPr>
        <w:t xml:space="preserve">EfficientNet-B0 achieves the highest Cohen's </w:t>
      </w:r>
      <w:r>
        <w:rPr>
          <w:rFonts w:ascii="Times New Roman" w:hAnsi="Times New Roman"/>
          <w:b w:val="0"/>
          <w:i w:val="0"/>
          <w:sz w:val="20"/>
        </w:rPr>
        <w:t>d</w:t>
      </w:r>
      <w:r>
        <w:rPr>
          <w:rFonts w:ascii="Times New Roman" w:hAnsi="Times New Roman"/>
          <w:b w:val="0"/>
          <w:i w:val="0"/>
          <w:sz w:val="20"/>
        </w:rPr>
        <w:t xml:space="preserve"> (0.707), indicating the greatest statistical separation between intra-class and inter-class distributions. However, it also exhibits the widest distributional spread (intra std </w:t>
      </w:r>
      <w:r>
        <w:rPr>
          <w:rFonts w:ascii="Times New Roman" w:hAnsi="Times New Roman"/>
          <w:b w:val="0"/>
          <w:i w:val="0"/>
          <w:sz w:val="20"/>
        </w:rPr>
        <w:t>= 0.123</w:t>
      </w:r>
      <w:r>
        <w:rPr>
          <w:rFonts w:ascii="Times New Roman" w:hAnsi="Times New Roman"/>
          <w:b w:val="0"/>
          <w:i w:val="0"/>
          <w:sz w:val="20"/>
        </w:rPr>
        <w:t xml:space="preserve"> vs. ResNet-50's </w:t>
      </w:r>
      <w:r>
        <w:rPr>
          <w:rFonts w:ascii="Times New Roman" w:hAnsi="Times New Roman"/>
          <w:b w:val="0"/>
          <w:i w:val="0"/>
          <w:sz w:val="20"/>
        </w:rPr>
        <w:t>0.098</w:t>
      </w:r>
      <w:r>
        <w:rPr>
          <w:rFonts w:ascii="Times New Roman" w:hAnsi="Times New Roman"/>
          <w:b w:val="0"/>
          <w:i w:val="0"/>
          <w:sz w:val="20"/>
        </w:rPr>
        <w:t>), i.e., a wider descriptor dispersion per signature.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b w:val="0"/>
          <w:i w:val="0"/>
          <w:sz w:val="20"/>
        </w:rPr>
        <w:t xml:space="preserve">ResNet-50 provides the best overall balance: (1) Cohen's </w:t>
      </w:r>
      <w:r>
        <w:rPr>
          <w:rFonts w:ascii="Times New Roman" w:hAnsi="Times New Roman"/>
          <w:b w:val="0"/>
          <w:i w:val="0"/>
          <w:sz w:val="20"/>
        </w:rPr>
        <w:t>d</w:t>
      </w:r>
      <w:r>
        <w:rPr>
          <w:rFonts w:ascii="Times New Roman" w:hAnsi="Times New Roman"/>
          <w:b w:val="0"/>
          <w:i w:val="0"/>
          <w:sz w:val="20"/>
        </w:rPr>
        <w:t xml:space="preserve"> of 0.669 is competitive with EfficientNet-B0's 0.707; (2) its tighter distributions yield more stable descriptor behaviour at the per-signature level; (3) the highest Firm A all-pairs 1st percentile (0.543) indicates that Firm A replication-dominated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2"/>
      </w:pPr>
      <w:r>
        <w:rPr>
          <w:color w:val="000000"/>
        </w:rPr>
        <w:t>M. Anchor-Based ICCR Calibration Results</w:t>
      </w:r>
    </w:p>
    <w:p>
      <w:pPr>
        <w:spacing w:after="120"/>
      </w:pPr>
      <w:r>
        <w:rPr>
          <w:rFonts w:ascii="Times New Roman" w:hAnsi="Times New Roman"/>
          <w:b w:val="0"/>
          <w:i w:val="0"/>
          <w:sz w:val="20"/>
        </w:rPr>
        <w:t>This section consolidates the empirical results that support the §III-L anchor-based threshold calibration framework.</w:t>
      </w:r>
    </w:p>
    <w:p>
      <w:pPr>
        <w:pStyle w:val="Heading3"/>
      </w:pPr>
      <w:r>
        <w:rPr>
          <w:color w:val="000000"/>
        </w:rPr>
        <w:t>M.1 Composition decomposition (Scripts 39b–39e)</w:t>
      </w:r>
    </w:p>
    <w:p>
      <w:pPr>
        <w:spacing w:after="120"/>
      </w:pPr>
      <w:r>
        <w:rPr>
          <w:rFonts w:ascii="Times New Roman" w:hAnsi="Times New Roman"/>
          <w:b w:val="0"/>
          <w:i w:val="0"/>
          <w:sz w:val="20"/>
        </w:rPr>
        <w:t>Table XX. Within-firm and between-firm decomposition of the Big-4 accountant-level dip-test rejection.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Diagnostic</w:t>
            </w:r>
          </w:p>
        </w:tc>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Statistic</w:t>
            </w:r>
          </w:p>
        </w:tc>
        <w:tc>
          <w:tcPr>
            <w:tcW w:type="dxa" w:w="2160"/>
          </w:tcPr>
          <w:p>
            <w:pPr>
              <w:jc w:val="center"/>
            </w:pPr>
            <w:r/>
            <w:r>
              <w:rPr>
                <w:rFonts w:ascii="Times New Roman" w:hAnsi="Times New Roman"/>
                <w:b/>
                <w:i w:val="0"/>
                <w:sz w:val="16"/>
              </w:rPr>
              <w:t>Implication</w:t>
            </w:r>
          </w:p>
        </w:tc>
      </w:tr>
      <w:tr>
        <w:tc>
          <w:tcPr>
            <w:tcW w:type="dxa" w:w="2160"/>
          </w:tcPr>
          <w:p>
            <w:pPr>
              <w:jc w:val="center"/>
            </w:pPr>
            <w:r/>
            <w:r>
              <w:rPr>
                <w:rFonts w:ascii="Times New Roman" w:hAnsi="Times New Roman"/>
                <w:b w:val="0"/>
                <w:i w:val="0"/>
                <w:sz w:val="16"/>
              </w:rPr>
              <w:t>Within-firm signature-level cosine dip</w:t>
            </w:r>
          </w:p>
        </w:tc>
        <w:tc>
          <w:tcPr>
            <w:tcW w:type="dxa" w:w="2160"/>
          </w:tcPr>
          <w:p>
            <w:pPr>
              <w:jc w:val="center"/>
            </w:pPr>
            <w:r/>
            <w:r>
              <w:rPr>
                <w:rFonts w:ascii="Times New Roman" w:hAnsi="Times New Roman"/>
                <w:b w:val="0"/>
                <w:i w:val="0"/>
                <w:sz w:val="16"/>
              </w:rPr>
              <w:t>Big-4 (4 firms)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cos</w:t>
            </w:r>
            <w:r>
              <w:rPr>
                <w:rFonts w:ascii="Times New Roman" w:hAnsi="Times New Roman"/>
                <w:b w:val="0"/>
                <w:i w:val="0"/>
                <w:sz w:val="16"/>
              </w:rPr>
              <w:t xml:space="preserve"> ∈ \{0.176, 0.991, 0.551, 0.976\}</w:t>
            </w:r>
          </w:p>
        </w:tc>
        <w:tc>
          <w:tcPr>
            <w:tcW w:type="dxa" w:w="2160"/>
          </w:tcPr>
          <w:p>
            <w:pPr>
              <w:jc w:val="center"/>
            </w:pPr>
            <w:r/>
            <w:r>
              <w:rPr>
                <w:rFonts w:ascii="Times New Roman" w:hAnsi="Times New Roman"/>
                <w:b w:val="0"/>
                <w:i w:val="0"/>
                <w:sz w:val="16"/>
              </w:rPr>
              <w:t>0/4 firms reject; cosine within-firm unimodal</w:t>
            </w:r>
          </w:p>
        </w:tc>
      </w:tr>
      <w:tr>
        <w:tc>
          <w:tcPr>
            <w:tcW w:type="dxa" w:w="2160"/>
          </w:tcPr>
          <w:p>
            <w:pPr>
              <w:jc w:val="center"/>
            </w:pPr>
            <w:r/>
            <w:r>
              <w:rPr>
                <w:rFonts w:ascii="Times New Roman" w:hAnsi="Times New Roman"/>
                <w:b w:val="0"/>
                <w:i w:val="0"/>
                <w:sz w:val="16"/>
              </w:rPr>
              <w:t>Within-firm signature-level cosine dip</w:t>
            </w:r>
          </w:p>
        </w:tc>
        <w:tc>
          <w:tcPr>
            <w:tcW w:type="dxa" w:w="2160"/>
          </w:tcPr>
          <w:p>
            <w:pPr>
              <w:jc w:val="center"/>
            </w:pPr>
            <w:r/>
            <w:r>
              <w:rPr>
                <w:rFonts w:ascii="Times New Roman" w:hAnsi="Times New Roman"/>
                <w:b w:val="0"/>
                <w:i w:val="0"/>
                <w:sz w:val="16"/>
              </w:rPr>
              <w:t xml:space="preserve">non-Big-4 (10 firms </w:t>
            </w:r>
            <w:r>
              <w:rPr>
                <w:rFonts w:ascii="Times New Roman" w:hAnsi="Times New Roman"/>
                <w:b w:val="0"/>
                <w:i w:val="0"/>
                <w:sz w:val="16"/>
              </w:rPr>
              <w:t>≥ 500</w:t>
            </w:r>
            <w:r>
              <w:rPr>
                <w:rFonts w:ascii="Times New Roman" w:hAnsi="Times New Roman"/>
                <w:b w:val="0"/>
                <w:i w:val="0"/>
                <w:sz w:val="16"/>
              </w:rPr>
              <w:t xml:space="preserve"> sigs)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cos</w:t>
            </w:r>
            <w:r>
              <w:rPr>
                <w:rFonts w:ascii="Times New Roman" w:hAnsi="Times New Roman"/>
                <w:b w:val="0"/>
                <w:i w:val="0"/>
                <w:sz w:val="16"/>
              </w:rPr>
              <w:t xml:space="preserve"> ∈ [0.59, 0.99]</w:t>
            </w:r>
          </w:p>
        </w:tc>
        <w:tc>
          <w:tcPr>
            <w:tcW w:type="dxa" w:w="2160"/>
          </w:tcPr>
          <w:p>
            <w:pPr>
              <w:jc w:val="center"/>
            </w:pPr>
            <w:r/>
            <w:r>
              <w:rPr>
                <w:rFonts w:ascii="Times New Roman" w:hAnsi="Times New Roman"/>
                <w:b w:val="0"/>
                <w:i w:val="0"/>
                <w:sz w:val="16"/>
              </w:rPr>
              <w:t>0/10 firms reject; cosine within-firm unimodal</w:t>
            </w:r>
          </w:p>
        </w:tc>
      </w:tr>
      <w:tr>
        <w:tc>
          <w:tcPr>
            <w:tcW w:type="dxa" w:w="2160"/>
          </w:tcPr>
          <w:p>
            <w:pPr>
              <w:jc w:val="center"/>
            </w:pPr>
            <w:r/>
            <w:r>
              <w:rPr>
                <w:rFonts w:ascii="Times New Roman" w:hAnsi="Times New Roman"/>
                <w:b w:val="0"/>
                <w:i w:val="0"/>
                <w:sz w:val="16"/>
              </w:rPr>
              <w:t>Within-firm jittered-dHash dip (5 seeds, median)</w:t>
            </w:r>
          </w:p>
        </w:tc>
        <w:tc>
          <w:tcPr>
            <w:tcW w:type="dxa" w:w="2160"/>
          </w:tcPr>
          <w:p>
            <w:pPr>
              <w:jc w:val="center"/>
            </w:pPr>
            <w:r/>
            <w:r>
              <w:rPr>
                <w:rFonts w:ascii="Times New Roman" w:hAnsi="Times New Roman"/>
                <w:b w:val="0"/>
                <w:i w:val="0"/>
                <w:sz w:val="16"/>
              </w:rPr>
              <w:t>Big-4 (4 firms)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med</w:t>
            </w:r>
            <w:r>
              <w:rPr>
                <w:rFonts w:ascii="Times New Roman" w:hAnsi="Times New Roman"/>
                <w:b w:val="0"/>
                <w:i w:val="0"/>
                <w:sz w:val="16"/>
              </w:rPr>
              <w:t xml:space="preserve"> ∈ \{0.999, 0.996, 0.999, 0.9995\}</w:t>
            </w:r>
          </w:p>
        </w:tc>
        <w:tc>
          <w:tcPr>
            <w:tcW w:type="dxa" w:w="2160"/>
          </w:tcPr>
          <w:p>
            <w:pPr>
              <w:jc w:val="center"/>
            </w:pPr>
            <w:r/>
            <w:r>
              <w:rPr>
                <w:rFonts w:ascii="Times New Roman" w:hAnsi="Times New Roman"/>
                <w:b w:val="0"/>
                <w:i w:val="0"/>
                <w:sz w:val="16"/>
              </w:rPr>
              <w:t>0/4 firms reject after integer-jitter; raw rejection was integer-tie artefact</w:t>
            </w:r>
          </w:p>
        </w:tc>
      </w:tr>
      <w:tr>
        <w:tc>
          <w:tcPr>
            <w:tcW w:type="dxa" w:w="2160"/>
          </w:tcPr>
          <w:p>
            <w:pPr>
              <w:jc w:val="center"/>
            </w:pPr>
            <w:r/>
            <w:r>
              <w:rPr>
                <w:rFonts w:ascii="Times New Roman" w:hAnsi="Times New Roman"/>
                <w:b w:val="0"/>
                <w:i w:val="0"/>
                <w:sz w:val="16"/>
              </w:rPr>
              <w:t>Big-4 pooled dHash: 2×2 factorial</w:t>
            </w:r>
          </w:p>
        </w:tc>
        <w:tc>
          <w:tcPr>
            <w:tcW w:type="dxa" w:w="2160"/>
          </w:tcPr>
          <w:p>
            <w:pPr>
              <w:jc w:val="center"/>
            </w:pPr>
            <w:r/>
            <w:r>
              <w:rPr>
                <w:rFonts w:ascii="Times New Roman" w:hAnsi="Times New Roman"/>
                <w:b w:val="0"/>
                <w:i w:val="0"/>
                <w:sz w:val="16"/>
              </w:rPr>
              <w:t>firm-centred + jittered (5 seeds)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med</w:t>
            </w:r>
            <w:r>
              <w:rPr>
                <w:rFonts w:ascii="Times New Roman" w:hAnsi="Times New Roman"/>
                <w:b w:val="0"/>
                <w:i w:val="0"/>
                <w:sz w:val="16"/>
              </w:rPr>
              <w:t xml:space="preserve"> = 0.35</w:t>
            </w:r>
            <w:r>
              <w:rPr>
                <w:rFonts w:ascii="Times New Roman" w:hAnsi="Times New Roman"/>
                <w:b w:val="0"/>
                <w:i w:val="0"/>
                <w:sz w:val="16"/>
              </w:rPr>
              <w:t>, 0/5 seeds reject</w:t>
            </w:r>
          </w:p>
        </w:tc>
        <w:tc>
          <w:tcPr>
            <w:tcW w:type="dxa" w:w="2160"/>
          </w:tcPr>
          <w:p>
            <w:pPr>
              <w:jc w:val="center"/>
            </w:pPr>
            <w:r/>
            <w:r>
              <w:rPr>
                <w:rFonts w:ascii="Times New Roman" w:hAnsi="Times New Roman"/>
                <w:b w:val="0"/>
                <w:i w:val="0"/>
                <w:sz w:val="16"/>
              </w:rPr>
              <w:t>combined corrections eliminate rejection; multimodality is composition + integer artefact</w:t>
            </w:r>
          </w:p>
        </w:tc>
      </w:tr>
      <w:tr>
        <w:tc>
          <w:tcPr>
            <w:tcW w:type="dxa" w:w="2160"/>
          </w:tcPr>
          <w:p>
            <w:pPr>
              <w:jc w:val="center"/>
            </w:pPr>
            <w:r/>
            <w:r>
              <w:rPr>
                <w:rFonts w:ascii="Times New Roman" w:hAnsi="Times New Roman"/>
                <w:b w:val="0"/>
                <w:i w:val="0"/>
                <w:sz w:val="16"/>
              </w:rPr>
              <w:t xml:space="preserve">Integer-histogram valley near </w:t>
            </w:r>
            <w:r>
              <w:rPr>
                <w:rFonts w:ascii="Times New Roman" w:hAnsi="Times New Roman"/>
                <w:b w:val="0"/>
                <w:i w:val="0"/>
                <w:sz w:val="16"/>
              </w:rPr>
              <w:t>dHash ≈ 5</w:t>
            </w:r>
          </w:p>
        </w:tc>
        <w:tc>
          <w:tcPr>
            <w:tcW w:type="dxa" w:w="2160"/>
          </w:tcPr>
          <w:p>
            <w:pPr>
              <w:jc w:val="center"/>
            </w:pPr>
            <w:r/>
            <w:r>
              <w:rPr>
                <w:rFonts w:ascii="Times New Roman" w:hAnsi="Times New Roman"/>
                <w:b w:val="0"/>
                <w:i w:val="0"/>
                <w:sz w:val="16"/>
              </w:rPr>
              <w:t>within each Big-4 firm</w:t>
            </w:r>
          </w:p>
        </w:tc>
        <w:tc>
          <w:tcPr>
            <w:tcW w:type="dxa" w:w="2160"/>
          </w:tcPr>
          <w:p>
            <w:pPr>
              <w:jc w:val="center"/>
            </w:pPr>
            <w:r/>
            <w:r>
              <w:rPr>
                <w:rFonts w:ascii="Times New Roman" w:hAnsi="Times New Roman"/>
                <w:b w:val="0"/>
                <w:i w:val="0"/>
                <w:sz w:val="16"/>
              </w:rPr>
              <w:t>none (0/4 firms)</w:t>
            </w:r>
          </w:p>
        </w:tc>
        <w:tc>
          <w:tcPr>
            <w:tcW w:type="dxa" w:w="2160"/>
          </w:tcPr>
          <w:p>
            <w:pPr>
              <w:jc w:val="center"/>
            </w:pPr>
            <w:r/>
            <w:r>
              <w:rPr>
                <w:rFonts w:ascii="Times New Roman" w:hAnsi="Times New Roman"/>
                <w:b w:val="0"/>
                <w:i w:val="0"/>
                <w:sz w:val="16"/>
              </w:rPr>
              <w:t>no within-firm dHash antimode at the deployed HC cutoff</w:t>
            </w:r>
          </w:p>
        </w:tc>
      </w:tr>
    </w:tbl>
    <w:p/>
    <w:p>
      <w:pPr>
        <w:spacing w:after="120"/>
      </w:pPr>
      <w:r>
        <w:rPr>
          <w:rFonts w:ascii="Times New Roman" w:hAnsi="Times New Roman"/>
          <w:b w:val="0"/>
          <w:i w:val="0"/>
          <w:sz w:val="20"/>
        </w:rPr>
        <w:t xml:space="preserve">(Source: Scripts 39b, 39c, 39d, 39e; bootstrap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jitter </w:t>
      </w:r>
      <w:r>
        <w:rPr>
          <w:rFonts w:ascii="Times New Roman" w:hAnsi="Times New Roman"/>
          <w:b w:val="0"/>
          <w:i w:val="0"/>
          <w:sz w:val="20"/>
        </w:rPr>
        <w:t>~ U[-0.5, +0.5]</w:t>
      </w:r>
      <w:r>
        <w:rPr>
          <w:rFonts w:ascii="Times New Roman" w:hAnsi="Times New Roman"/>
          <w:b w:val="0"/>
          <w:i w:val="0"/>
          <w:sz w:val="20"/>
        </w:rPr>
        <w:t>.)</w:t>
      </w:r>
    </w:p>
    <w:p>
      <w:pPr>
        <w:pStyle w:val="Heading3"/>
      </w:pPr>
      <w:r>
        <w:rPr>
          <w:color w:val="000000"/>
        </w:rPr>
        <w:t>M.2 Anchor-based inter-CPA pair-level ICCR (Script 40b)</w:t>
      </w:r>
    </w:p>
    <w:p>
      <w:pPr>
        <w:spacing w:after="120"/>
      </w:pPr>
      <w:r>
        <w:rPr>
          <w:rFonts w:ascii="Times New Roman" w:hAnsi="Times New Roman"/>
          <w:b w:val="0"/>
          <w:i w:val="0"/>
          <w:sz w:val="20"/>
        </w:rPr>
        <w:t xml:space="preserve">Table XXI. Big-4 inter-CPA per-comparison ICCR sweep, </w:t>
      </w:r>
      <w:r>
        <w:rPr>
          <w:rFonts w:ascii="Times New Roman" w:hAnsi="Times New Roman"/>
          <w:b w:val="0"/>
          <w:i w:val="0"/>
          <w:sz w:val="20"/>
        </w:rPr>
        <w:t>n = 5 × 10</w:t>
      </w:r>
      <w:r>
        <w:rPr>
          <w:rFonts w:ascii="Times New Roman" w:hAnsi="Times New Roman"/>
          <w:b w:val="0"/>
          <w:i w:val="0"/>
          <w:sz w:val="20"/>
          <w:vertAlign w:val="superscript"/>
        </w:rPr>
        <w:t>5</w:t>
      </w:r>
      <w:r>
        <w:rPr>
          <w:rFonts w:ascii="Times New Roman" w:hAnsi="Times New Roman"/>
          <w:b w:val="0"/>
          <w:i w:val="0"/>
          <w:sz w:val="20"/>
        </w:rPr>
        <w:t xml:space="preserve"> pairs (Big-4 scope).</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Per-comparison ICCR</w:t>
            </w:r>
          </w:p>
        </w:tc>
        <w:tc>
          <w:tcPr>
            <w:tcW w:type="dxa" w:w="2880"/>
          </w:tcPr>
          <w:p>
            <w:pPr>
              <w:jc w:val="center"/>
            </w:pPr>
            <w:r/>
            <w:r>
              <w:rPr>
                <w:rFonts w:ascii="Times New Roman" w:hAnsi="Times New Roman"/>
                <w:b/>
                <w:i w:val="0"/>
                <w:sz w:val="16"/>
              </w:rPr>
              <w:t>95% Wilson CI</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0.945</w:t>
            </w:r>
            <w:r>
              <w:rPr>
                <w:rFonts w:ascii="Times New Roman" w:hAnsi="Times New Roman"/>
                <w:b w:val="0"/>
                <w:i w:val="0"/>
                <w:sz w:val="16"/>
              </w:rPr>
              <w:t xml:space="preserve"> (alternative operating point from supplementary calibration evidence)</w:t>
            </w:r>
          </w:p>
        </w:tc>
        <w:tc>
          <w:tcPr>
            <w:tcW w:type="dxa" w:w="2880"/>
          </w:tcPr>
          <w:p>
            <w:pPr>
              <w:jc w:val="center"/>
            </w:pPr>
            <w:r/>
            <w:r>
              <w:rPr>
                <w:rFonts w:ascii="Times New Roman" w:hAnsi="Times New Roman"/>
                <w:b w:val="0"/>
                <w:i w:val="0"/>
                <w:sz w:val="16"/>
              </w:rPr>
              <w:t>0.00081</w:t>
            </w:r>
          </w:p>
        </w:tc>
        <w:tc>
          <w:tcPr>
            <w:tcW w:type="dxa" w:w="2880"/>
          </w:tcPr>
          <w:p>
            <w:pPr>
              <w:jc w:val="center"/>
            </w:pPr>
            <w:r/>
            <w:r>
              <w:rPr>
                <w:rFonts w:ascii="Times New Roman" w:hAnsi="Times New Roman"/>
                <w:b w:val="0"/>
                <w:i w:val="0"/>
                <w:sz w:val="16"/>
              </w:rPr>
              <w:t>[0.00073, 0.00089]</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0.95</w:t>
            </w:r>
            <w:r>
              <w:rPr>
                <w:rFonts w:ascii="Times New Roman" w:hAnsi="Times New Roman"/>
                <w:b w:val="0"/>
                <w:i w:val="0"/>
                <w:sz w:val="16"/>
              </w:rPr>
              <w:t xml:space="preserve"> (deployed operating point)</w:t>
            </w:r>
          </w:p>
        </w:tc>
        <w:tc>
          <w:tcPr>
            <w:tcW w:type="dxa" w:w="2880"/>
          </w:tcPr>
          <w:p>
            <w:pPr>
              <w:jc w:val="center"/>
            </w:pPr>
            <w:r/>
            <w:r>
              <w:rPr>
                <w:rFonts w:ascii="Times New Roman" w:hAnsi="Times New Roman"/>
                <w:b w:val="0"/>
                <w:i w:val="0"/>
                <w:sz w:val="16"/>
              </w:rPr>
              <w:t>0.00060</w:t>
            </w:r>
          </w:p>
        </w:tc>
        <w:tc>
          <w:tcPr>
            <w:tcW w:type="dxa" w:w="2880"/>
          </w:tcPr>
          <w:p>
            <w:pPr>
              <w:jc w:val="center"/>
            </w:pPr>
            <w:r/>
            <w:r>
              <w:rPr>
                <w:rFonts w:ascii="Times New Roman" w:hAnsi="Times New Roman"/>
                <w:b w:val="0"/>
                <w:i w:val="0"/>
                <w:sz w:val="16"/>
              </w:rPr>
              <w:t>[0.00053, 0.00067]</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0.97</w:t>
            </w:r>
          </w:p>
        </w:tc>
        <w:tc>
          <w:tcPr>
            <w:tcW w:type="dxa" w:w="2880"/>
          </w:tcPr>
          <w:p>
            <w:pPr>
              <w:jc w:val="center"/>
            </w:pPr>
            <w:r/>
            <w:r>
              <w:rPr>
                <w:rFonts w:ascii="Times New Roman" w:hAnsi="Times New Roman"/>
                <w:b w:val="0"/>
                <w:i w:val="0"/>
                <w:sz w:val="16"/>
              </w:rPr>
              <w:t>0.00024</w:t>
            </w:r>
          </w:p>
        </w:tc>
        <w:tc>
          <w:tcPr>
            <w:tcW w:type="dxa" w:w="2880"/>
          </w:tcPr>
          <w:p>
            <w:pPr>
              <w:jc w:val="center"/>
            </w:pPr>
            <w:r/>
            <w:r>
              <w:rPr>
                <w:rFonts w:ascii="Times New Roman" w:hAnsi="Times New Roman"/>
                <w:b w:val="0"/>
                <w:i w:val="0"/>
                <w:sz w:val="16"/>
              </w:rPr>
              <w:t>[0.00020, 0.00029]</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0.98</w:t>
            </w:r>
          </w:p>
        </w:tc>
        <w:tc>
          <w:tcPr>
            <w:tcW w:type="dxa" w:w="2880"/>
          </w:tcPr>
          <w:p>
            <w:pPr>
              <w:jc w:val="center"/>
            </w:pPr>
            <w:r/>
            <w:r>
              <w:rPr>
                <w:rFonts w:ascii="Times New Roman" w:hAnsi="Times New Roman"/>
                <w:b w:val="0"/>
                <w:i w:val="0"/>
                <w:sz w:val="16"/>
              </w:rPr>
              <w:t>0.00009</w:t>
            </w:r>
          </w:p>
        </w:tc>
        <w:tc>
          <w:tcPr>
            <w:tcW w:type="dxa" w:w="2880"/>
          </w:tcPr>
          <w:p>
            <w:pPr>
              <w:jc w:val="center"/>
            </w:pPr>
            <w:r/>
            <w:r>
              <w:rPr>
                <w:rFonts w:ascii="Times New Roman" w:hAnsi="Times New Roman"/>
                <w:b w:val="0"/>
                <w:i w:val="0"/>
                <w:sz w:val="16"/>
              </w:rPr>
              <w:t>[0.00007, 0.00012]</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r>
              <w:rPr>
                <w:rFonts w:ascii="Times New Roman" w:hAnsi="Times New Roman"/>
                <w:b w:val="0"/>
                <w:i w:val="0"/>
                <w:sz w:val="16"/>
              </w:rPr>
              <w:t xml:space="preserve"> (deployed operating point)</w:t>
            </w:r>
          </w:p>
        </w:tc>
        <w:tc>
          <w:tcPr>
            <w:tcW w:type="dxa" w:w="2880"/>
          </w:tcPr>
          <w:p>
            <w:pPr>
              <w:jc w:val="center"/>
            </w:pPr>
            <w:r/>
            <w:r>
              <w:rPr>
                <w:rFonts w:ascii="Times New Roman" w:hAnsi="Times New Roman"/>
                <w:b w:val="0"/>
                <w:i w:val="0"/>
                <w:sz w:val="16"/>
              </w:rPr>
              <w:t>0.00129</w:t>
            </w:r>
          </w:p>
        </w:tc>
        <w:tc>
          <w:tcPr>
            <w:tcW w:type="dxa" w:w="2880"/>
          </w:tcPr>
          <w:p>
            <w:pPr>
              <w:jc w:val="center"/>
            </w:pPr>
            <w:r/>
            <w:r>
              <w:rPr>
                <w:rFonts w:ascii="Times New Roman" w:hAnsi="Times New Roman"/>
                <w:b w:val="0"/>
                <w:i w:val="0"/>
                <w:sz w:val="16"/>
              </w:rPr>
              <w:t>[0.00120, 0.00140]</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4</w:t>
            </w:r>
          </w:p>
        </w:tc>
        <w:tc>
          <w:tcPr>
            <w:tcW w:type="dxa" w:w="2880"/>
          </w:tcPr>
          <w:p>
            <w:pPr>
              <w:jc w:val="center"/>
            </w:pPr>
            <w:r/>
            <w:r>
              <w:rPr>
                <w:rFonts w:ascii="Times New Roman" w:hAnsi="Times New Roman"/>
                <w:b w:val="0"/>
                <w:i w:val="0"/>
                <w:sz w:val="16"/>
              </w:rPr>
              <w:t>0.00050</w:t>
            </w:r>
          </w:p>
        </w:tc>
        <w:tc>
          <w:tcPr>
            <w:tcW w:type="dxa" w:w="2880"/>
          </w:tcPr>
          <w:p>
            <w:pPr>
              <w:jc w:val="center"/>
            </w:pPr>
            <w:r/>
            <w:r>
              <w:rPr>
                <w:rFonts w:ascii="Times New Roman" w:hAnsi="Times New Roman"/>
                <w:b w:val="0"/>
                <w:i w:val="0"/>
                <w:sz w:val="16"/>
              </w:rPr>
              <w:t>[0.00044, 0.00057]</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3</w:t>
            </w:r>
          </w:p>
        </w:tc>
        <w:tc>
          <w:tcPr>
            <w:tcW w:type="dxa" w:w="2880"/>
          </w:tcPr>
          <w:p>
            <w:pPr>
              <w:jc w:val="center"/>
            </w:pPr>
            <w:r/>
            <w:r>
              <w:rPr>
                <w:rFonts w:ascii="Times New Roman" w:hAnsi="Times New Roman"/>
                <w:b w:val="0"/>
                <w:i w:val="0"/>
                <w:sz w:val="16"/>
              </w:rPr>
              <w:t>0.00019</w:t>
            </w:r>
          </w:p>
        </w:tc>
        <w:tc>
          <w:tcPr>
            <w:tcW w:type="dxa" w:w="2880"/>
          </w:tcPr>
          <w:p>
            <w:pPr>
              <w:jc w:val="center"/>
            </w:pPr>
            <w:r/>
            <w:r>
              <w:rPr>
                <w:rFonts w:ascii="Times New Roman" w:hAnsi="Times New Roman"/>
                <w:b w:val="0"/>
                <w:i w:val="0"/>
                <w:sz w:val="16"/>
              </w:rPr>
              <w:t>[0.00015, 0.00023]</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xml:space="preserve"> (any-pair semantics)</w:t>
            </w:r>
          </w:p>
        </w:tc>
        <w:tc>
          <w:tcPr>
            <w:tcW w:type="dxa" w:w="2880"/>
          </w:tcPr>
          <w:p>
            <w:pPr>
              <w:jc w:val="center"/>
            </w:pPr>
            <w:r/>
            <w:r>
              <w:rPr>
                <w:rFonts w:ascii="Times New Roman" w:hAnsi="Times New Roman"/>
                <w:b w:val="0"/>
                <w:i w:val="0"/>
                <w:sz w:val="16"/>
              </w:rPr>
              <w:t>0.00014</w:t>
            </w:r>
          </w:p>
        </w:tc>
        <w:tc>
          <w:tcPr>
            <w:tcW w:type="dxa" w:w="2880"/>
          </w:tcPr>
          <w:p>
            <w:pPr>
              <w:jc w:val="center"/>
            </w:pPr>
            <w:r/>
            <w:r>
              <w:rPr>
                <w:rFonts w:ascii="Times New Roman" w:hAnsi="Times New Roman"/>
                <w:b w:val="0"/>
                <w:i w:val="0"/>
                <w:sz w:val="16"/>
              </w:rPr>
              <w:t>[0.00011, 0.00018]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4</w:t>
            </w:r>
            <w:r>
              <w:rPr>
                <w:rFonts w:ascii="Times New Roman" w:hAnsi="Times New Roman"/>
                <w:b w:val="0"/>
                <w:i w:val="0"/>
                <w:sz w:val="16"/>
              </w:rPr>
              <w:t xml:space="preserve"> (any-pair)</w:t>
            </w:r>
          </w:p>
        </w:tc>
        <w:tc>
          <w:tcPr>
            <w:tcW w:type="dxa" w:w="2880"/>
          </w:tcPr>
          <w:p>
            <w:pPr>
              <w:jc w:val="center"/>
            </w:pPr>
            <w:r/>
            <w:r>
              <w:rPr>
                <w:rFonts w:ascii="Times New Roman" w:hAnsi="Times New Roman"/>
                <w:b w:val="0"/>
                <w:i w:val="0"/>
                <w:sz w:val="16"/>
              </w:rPr>
              <w:t>0.00011</w:t>
            </w:r>
          </w:p>
        </w:tc>
        <w:tc>
          <w:tcPr>
            <w:tcW w:type="dxa" w:w="2880"/>
          </w:tcPr>
          <w:p>
            <w:pPr>
              <w:jc w:val="center"/>
            </w:pPr>
            <w:r/>
            <w:r>
              <w:rPr>
                <w:rFonts w:ascii="Times New Roman" w:hAnsi="Times New Roman"/>
                <w:b w:val="0"/>
                <w:i w:val="0"/>
                <w:sz w:val="16"/>
              </w:rPr>
              <w:t>[0.00008, 0.00014]</w:t>
            </w:r>
          </w:p>
        </w:tc>
      </w:tr>
    </w:tbl>
    <w:p/>
    <w:p>
      <w:pPr>
        <w:spacing w:after="120"/>
      </w:pPr>
      <w:r>
        <w:rPr>
          <w:rFonts w:ascii="Times New Roman" w:hAnsi="Times New Roman"/>
          <w:b w:val="0"/>
          <w:i w:val="0"/>
          <w:sz w:val="20"/>
        </w:rPr>
        <w:t xml:space="preserve">Conditional ICCR(dHash </w:t>
      </w:r>
      <w:r>
        <w:rPr>
          <w:rFonts w:ascii="Times New Roman" w:hAnsi="Times New Roman"/>
          <w:b w:val="0"/>
          <w:i w:val="0"/>
          <w:sz w:val="20"/>
        </w:rPr>
        <w:t>≤ 5</w:t>
      </w:r>
      <w:r>
        <w:rPr>
          <w:rFonts w:ascii="Times New Roman" w:hAnsi="Times New Roman"/>
          <w:b w:val="0"/>
          <w:i w:val="0"/>
          <w:sz w:val="20"/>
        </w:rPr>
        <w:t xml:space="preserve"> |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 0.234</w:t>
      </w:r>
      <w:r>
        <w:rPr>
          <w:rFonts w:ascii="Times New Roman" w:hAnsi="Times New Roman"/>
          <w:b w:val="0"/>
          <w:i w:val="0"/>
          <w:sz w:val="20"/>
        </w:rPr>
        <w:t xml:space="preserve"> (Wilson 95% </w:t>
      </w:r>
      <w:r>
        <w:rPr>
          <w:rFonts w:ascii="Times New Roman" w:hAnsi="Times New Roman"/>
          <w:b w:val="0"/>
          <w:i w:val="0"/>
          <w:sz w:val="20"/>
        </w:rPr>
        <w:t>[0.190, 0.285]</w:t>
      </w:r>
      <w:r>
        <w:rPr>
          <w:rFonts w:ascii="Times New Roman" w:hAnsi="Times New Roman"/>
          <w:b w:val="0"/>
          <w:i w:val="0"/>
          <w:sz w:val="20"/>
        </w:rPr>
        <w:t xml:space="preserve">; </w:t>
      </w:r>
      <w:r>
        <w:rPr>
          <w:rFonts w:ascii="Times New Roman" w:hAnsi="Times New Roman"/>
          <w:b w:val="0"/>
          <w:i w:val="0"/>
          <w:sz w:val="20"/>
        </w:rPr>
        <w:t>70</w:t>
      </w:r>
      <w:r>
        <w:rPr>
          <w:rFonts w:ascii="Times New Roman" w:hAnsi="Times New Roman"/>
          <w:b w:val="0"/>
          <w:i w:val="0"/>
          <w:sz w:val="20"/>
        </w:rPr>
        <w:t xml:space="preserve"> of </w:t>
      </w:r>
      <w:r>
        <w:rPr>
          <w:rFonts w:ascii="Times New Roman" w:hAnsi="Times New Roman"/>
          <w:b w:val="0"/>
          <w:i w:val="0"/>
          <w:sz w:val="20"/>
        </w:rPr>
        <w:t>299</w:t>
      </w:r>
      <w:r>
        <w:rPr>
          <w:rFonts w:ascii="Times New Roman" w:hAnsi="Times New Roman"/>
          <w:b w:val="0"/>
          <w:i w:val="0"/>
          <w:sz w:val="20"/>
        </w:rPr>
        <w:t xml:space="preserve"> pairs).</w:t>
      </w:r>
    </w:p>
    <w:p>
      <w:pPr>
        <w:spacing w:after="120"/>
      </w:pPr>
      <w:r>
        <w:rPr>
          <w:rFonts w:ascii="Times New Roman" w:hAnsi="Times New Roman"/>
          <w:b w:val="0"/>
          <w:i w:val="0"/>
          <w:sz w:val="20"/>
        </w:rPr>
        <w:t xml:space="preserve">The cos </w:t>
      </w:r>
      <w:r>
        <w:rPr>
          <w:rFonts w:ascii="Times New Roman" w:hAnsi="Times New Roman"/>
          <w:b w:val="0"/>
          <w:i w:val="0"/>
          <w:sz w:val="20"/>
        </w:rPr>
        <w:t>&gt; 0.95</w:t>
      </w:r>
      <w:r>
        <w:rPr>
          <w:rFonts w:ascii="Times New Roman" w:hAnsi="Times New Roman"/>
          <w:b w:val="0"/>
          <w:i w:val="0"/>
          <w:sz w:val="20"/>
        </w:rPr>
        <w:t xml:space="preserve"> row is consistent with the corpus-wide spike of §IV-I (per-comparison rate </w:t>
      </w:r>
      <w:r>
        <w:rPr>
          <w:rFonts w:ascii="Times New Roman" w:hAnsi="Times New Roman"/>
          <w:b w:val="0"/>
          <w:i w:val="0"/>
          <w:sz w:val="20"/>
        </w:rPr>
        <w:t>0.0005</w:t>
      </w:r>
      <w:r>
        <w:rPr>
          <w:rFonts w:ascii="Times New Roman" w:hAnsi="Times New Roman"/>
          <w:b w:val="0"/>
          <w:i w:val="0"/>
          <w:sz w:val="20"/>
        </w:rPr>
        <w:t>). The dHash row and joint row are reported here for the first time on this corpus.</w:t>
      </w:r>
    </w:p>
    <w:p>
      <w:pPr>
        <w:pStyle w:val="Heading3"/>
      </w:pPr>
      <w:r>
        <w:rPr>
          <w:color w:val="000000"/>
        </w:rPr>
        <w:t>M.3 Pool-normalised per-signature ICCR (Script 43)</w:t>
      </w:r>
    </w:p>
    <w:p>
      <w:pPr>
        <w:spacing w:after="120"/>
      </w:pPr>
      <w:r>
        <w:rPr>
          <w:rFonts w:ascii="Times New Roman" w:hAnsi="Times New Roman"/>
          <w:b w:val="0"/>
          <w:i w:val="0"/>
          <w:sz w:val="20"/>
        </w:rPr>
        <w:t xml:space="preserve">Table XXII. Pool-normalised per-signature ICCR under the deployed any-pair HC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150,453</w:t>
      </w:r>
      <w:r>
        <w:rPr>
          <w:rFonts w:ascii="Times New Roman" w:hAnsi="Times New Roman"/>
          <w:b w:val="0"/>
          <w:i w:val="0"/>
          <w:sz w:val="20"/>
        </w:rPr>
        <w:t xml:space="preserve"> (vector-complete Big-4); CPA-block bootstrap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1000</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Per-signature ICCR</w:t>
            </w:r>
          </w:p>
        </w:tc>
        <w:tc>
          <w:tcPr>
            <w:tcW w:type="dxa" w:w="2160"/>
          </w:tcPr>
          <w:p>
            <w:pPr>
              <w:jc w:val="center"/>
            </w:pPr>
            <w:r/>
            <w:r>
              <w:rPr>
                <w:rFonts w:ascii="Times New Roman" w:hAnsi="Times New Roman"/>
                <w:b/>
                <w:i w:val="0"/>
                <w:sz w:val="16"/>
              </w:rPr>
              <w:t>Wilson 95% CI</w:t>
            </w:r>
          </w:p>
        </w:tc>
        <w:tc>
          <w:tcPr>
            <w:tcW w:type="dxa" w:w="2160"/>
          </w:tcPr>
          <w:p>
            <w:pPr>
              <w:jc w:val="center"/>
            </w:pPr>
            <w:r/>
            <w:r>
              <w:rPr>
                <w:rFonts w:ascii="Times New Roman" w:hAnsi="Times New Roman"/>
                <w:b/>
                <w:i w:val="0"/>
                <w:sz w:val="16"/>
              </w:rPr>
              <w:t>CPA-bootstrap 95% CI</w:t>
            </w:r>
          </w:p>
        </w:tc>
      </w:tr>
      <w:tr>
        <w:tc>
          <w:tcPr>
            <w:tcW w:type="dxa" w:w="2160"/>
          </w:tcPr>
          <w:p>
            <w:pPr>
              <w:jc w:val="center"/>
            </w:pPr>
            <w:r/>
            <w:r>
              <w:rPr>
                <w:rFonts w:ascii="Times New Roman" w:hAnsi="Times New Roman"/>
                <w:b w:val="0"/>
                <w:i w:val="0"/>
                <w:sz w:val="16"/>
              </w:rPr>
              <w:t>Big-4 pooled (any-pair, deployed)</w:t>
            </w:r>
          </w:p>
        </w:tc>
        <w:tc>
          <w:tcPr>
            <w:tcW w:type="dxa" w:w="2160"/>
          </w:tcPr>
          <w:p>
            <w:pPr>
              <w:jc w:val="center"/>
            </w:pPr>
            <w:r/>
            <w:r>
              <w:rPr>
                <w:rFonts w:ascii="Times New Roman" w:hAnsi="Times New Roman"/>
                <w:b w:val="0"/>
                <w:i w:val="0"/>
                <w:sz w:val="16"/>
              </w:rPr>
              <w:t>0.1102</w:t>
            </w:r>
          </w:p>
        </w:tc>
        <w:tc>
          <w:tcPr>
            <w:tcW w:type="dxa" w:w="2160"/>
          </w:tcPr>
          <w:p>
            <w:pPr>
              <w:jc w:val="center"/>
            </w:pPr>
            <w:r/>
            <w:r>
              <w:rPr>
                <w:rFonts w:ascii="Times New Roman" w:hAnsi="Times New Roman"/>
                <w:b w:val="0"/>
                <w:i w:val="0"/>
                <w:sz w:val="16"/>
              </w:rPr>
              <w:t>[0.1086, 0.1118]</w:t>
            </w:r>
          </w:p>
        </w:tc>
        <w:tc>
          <w:tcPr>
            <w:tcW w:type="dxa" w:w="2160"/>
          </w:tcPr>
          <w:p>
            <w:pPr>
              <w:jc w:val="center"/>
            </w:pPr>
            <w:r/>
            <w:r>
              <w:rPr>
                <w:rFonts w:ascii="Times New Roman" w:hAnsi="Times New Roman"/>
                <w:b w:val="0"/>
                <w:i w:val="0"/>
                <w:sz w:val="16"/>
              </w:rPr>
              <w:t>[0.0908, 0.1330]</w:t>
            </w:r>
          </w:p>
        </w:tc>
      </w:tr>
      <w:tr>
        <w:tc>
          <w:tcPr>
            <w:tcW w:type="dxa" w:w="2160"/>
          </w:tcPr>
          <w:p>
            <w:pPr>
              <w:jc w:val="center"/>
            </w:pPr>
            <w:r/>
            <w:r>
              <w:rPr>
                <w:rFonts w:ascii="Times New Roman" w:hAnsi="Times New Roman"/>
                <w:b w:val="0"/>
                <w:i w:val="0"/>
                <w:sz w:val="16"/>
              </w:rPr>
              <w:t>Big-4 pooled (same-pair, stricter alternative)</w:t>
            </w:r>
          </w:p>
        </w:tc>
        <w:tc>
          <w:tcPr>
            <w:tcW w:type="dxa" w:w="2160"/>
          </w:tcPr>
          <w:p>
            <w:pPr>
              <w:jc w:val="center"/>
            </w:pPr>
            <w:r/>
            <w:r>
              <w:rPr>
                <w:rFonts w:ascii="Times New Roman" w:hAnsi="Times New Roman"/>
                <w:b w:val="0"/>
                <w:i w:val="0"/>
                <w:sz w:val="16"/>
              </w:rPr>
              <w:t>0.0827</w:t>
            </w:r>
          </w:p>
        </w:tc>
        <w:tc>
          <w:tcPr>
            <w:tcW w:type="dxa" w:w="2160"/>
          </w:tcPr>
          <w:p>
            <w:pPr>
              <w:jc w:val="center"/>
            </w:pPr>
            <w:r/>
            <w:r>
              <w:rPr>
                <w:rFonts w:ascii="Times New Roman" w:hAnsi="Times New Roman"/>
                <w:b w:val="0"/>
                <w:i w:val="0"/>
                <w:sz w:val="16"/>
              </w:rPr>
              <w:t>[0.0813, 0.0841]</w:t>
            </w:r>
          </w:p>
        </w:tc>
        <w:tc>
          <w:tcPr>
            <w:tcW w:type="dxa" w:w="2160"/>
          </w:tcPr>
          <w:p>
            <w:pPr>
              <w:jc w:val="center"/>
            </w:pPr>
            <w:r/>
            <w:r>
              <w:rPr>
                <w:rFonts w:ascii="Times New Roman" w:hAnsi="Times New Roman"/>
                <w:b w:val="0"/>
                <w:i w:val="0"/>
                <w:sz w:val="16"/>
              </w:rPr>
              <w:t>[0.0668, 0.1021]</w:t>
            </w:r>
          </w:p>
        </w:tc>
      </w:tr>
      <w:tr>
        <w:tc>
          <w:tcPr>
            <w:tcW w:type="dxa" w:w="2160"/>
          </w:tcPr>
          <w:p>
            <w:pPr>
              <w:jc w:val="center"/>
            </w:pPr>
            <w:r/>
            <w:r>
              <w:rPr>
                <w:rFonts w:ascii="Times New Roman" w:hAnsi="Times New Roman"/>
                <w:b w:val="0"/>
                <w:i w:val="0"/>
                <w:sz w:val="16"/>
              </w:rPr>
              <w:t>Firm A (any-pair)</w:t>
            </w:r>
          </w:p>
        </w:tc>
        <w:tc>
          <w:tcPr>
            <w:tcW w:type="dxa" w:w="2160"/>
          </w:tcPr>
          <w:p>
            <w:pPr>
              <w:jc w:val="center"/>
            </w:pPr>
            <w:r/>
            <w:r>
              <w:rPr>
                <w:rFonts w:ascii="Times New Roman" w:hAnsi="Times New Roman"/>
                <w:b w:val="0"/>
                <w:i w:val="0"/>
                <w:sz w:val="16"/>
              </w:rPr>
              <w:t>0.2594</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B (any-pair)</w:t>
            </w:r>
          </w:p>
        </w:tc>
        <w:tc>
          <w:tcPr>
            <w:tcW w:type="dxa" w:w="2160"/>
          </w:tcPr>
          <w:p>
            <w:pPr>
              <w:jc w:val="center"/>
            </w:pPr>
            <w:r/>
            <w:r>
              <w:rPr>
                <w:rFonts w:ascii="Times New Roman" w:hAnsi="Times New Roman"/>
                <w:b w:val="0"/>
                <w:i w:val="0"/>
                <w:sz w:val="16"/>
              </w:rPr>
              <w:t>0.0147</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C (any-pair)</w:t>
            </w:r>
          </w:p>
        </w:tc>
        <w:tc>
          <w:tcPr>
            <w:tcW w:type="dxa" w:w="2160"/>
          </w:tcPr>
          <w:p>
            <w:pPr>
              <w:jc w:val="center"/>
            </w:pPr>
            <w:r/>
            <w:r>
              <w:rPr>
                <w:rFonts w:ascii="Times New Roman" w:hAnsi="Times New Roman"/>
                <w:b w:val="0"/>
                <w:i w:val="0"/>
                <w:sz w:val="16"/>
              </w:rPr>
              <w:t>0.0053</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D (any-pair)</w:t>
            </w:r>
          </w:p>
        </w:tc>
        <w:tc>
          <w:tcPr>
            <w:tcW w:type="dxa" w:w="2160"/>
          </w:tcPr>
          <w:p>
            <w:pPr>
              <w:jc w:val="center"/>
            </w:pPr>
            <w:r/>
            <w:r>
              <w:rPr>
                <w:rFonts w:ascii="Times New Roman" w:hAnsi="Times New Roman"/>
                <w:b w:val="0"/>
                <w:i w:val="0"/>
                <w:sz w:val="16"/>
              </w:rPr>
              <w:t>0.0110</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Pool-size decile 1 (smallest pools) any-pair</w:t>
            </w:r>
          </w:p>
        </w:tc>
        <w:tc>
          <w:tcPr>
            <w:tcW w:type="dxa" w:w="2160"/>
          </w:tcPr>
          <w:p>
            <w:pPr>
              <w:jc w:val="center"/>
            </w:pPr>
            <w:r/>
            <w:r>
              <w:rPr>
                <w:rFonts w:ascii="Times New Roman" w:hAnsi="Times New Roman"/>
                <w:b w:val="0"/>
                <w:i w:val="0"/>
                <w:sz w:val="16"/>
              </w:rPr>
              <w:t>0.0249</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Pool-size decile 10 (largest pools) any-pair</w:t>
            </w:r>
          </w:p>
        </w:tc>
        <w:tc>
          <w:tcPr>
            <w:tcW w:type="dxa" w:w="2160"/>
          </w:tcPr>
          <w:p>
            <w:pPr>
              <w:jc w:val="center"/>
            </w:pPr>
            <w:r/>
            <w:r>
              <w:rPr>
                <w:rFonts w:ascii="Times New Roman" w:hAnsi="Times New Roman"/>
                <w:b w:val="0"/>
                <w:i w:val="0"/>
                <w:sz w:val="16"/>
              </w:rPr>
              <w:t>0.1905</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bl>
    <w:p/>
    <w:p>
      <w:pPr>
        <w:spacing w:after="120"/>
      </w:pPr>
      <w:r>
        <w:rPr>
          <w:rFonts w:ascii="Times New Roman" w:hAnsi="Times New Roman"/>
          <w:b w:val="0"/>
          <w:i w:val="0"/>
          <w:sz w:val="20"/>
        </w:rPr>
        <w:t xml:space="preserve">Decile trend is broadly monotone in pool size with two minor reversals (decile 5 and decile 9 dip below their predecessors). Stricter operating point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3</w:t>
      </w:r>
      <w:r>
        <w:rPr>
          <w:rFonts w:ascii="Times New Roman" w:hAnsi="Times New Roman"/>
          <w:b w:val="0"/>
          <w:i w:val="0"/>
          <w:sz w:val="20"/>
        </w:rPr>
        <w:t xml:space="preserve"> (same-pair) gives per-signature ICCR </w:t>
      </w:r>
      <w:r>
        <w:rPr>
          <w:rFonts w:ascii="Times New Roman" w:hAnsi="Times New Roman"/>
          <w:b w:val="0"/>
          <w:i w:val="0"/>
          <w:sz w:val="20"/>
        </w:rPr>
        <w:t>0.0449</w:t>
      </w:r>
      <w:r>
        <w:rPr>
          <w:rFonts w:ascii="Times New Roman" w:hAnsi="Times New Roman"/>
          <w:b w:val="0"/>
          <w:i w:val="0"/>
          <w:sz w:val="20"/>
        </w:rPr>
        <w:t>.</w:t>
      </w:r>
    </w:p>
    <w:p>
      <w:pPr>
        <w:pStyle w:val="Heading3"/>
      </w:pPr>
      <w:r>
        <w:rPr>
          <w:color w:val="000000"/>
        </w:rPr>
        <w:t>M.4 Document-level ICCR under three alarm definitions (Script 45)</w:t>
      </w:r>
    </w:p>
    <w:p>
      <w:pPr>
        <w:spacing w:after="120"/>
      </w:pPr>
      <w:r>
        <w:rPr>
          <w:rFonts w:ascii="Times New Roman" w:hAnsi="Times New Roman"/>
          <w:b w:val="0"/>
          <w:i w:val="0"/>
          <w:sz w:val="20"/>
        </w:rPr>
        <w:t xml:space="preserve">Table XXIII. Document-level inter-CPA ICCR by alarm definition; </w:t>
      </w:r>
      <w:r>
        <w:rPr>
          <w:rFonts w:ascii="Times New Roman" w:hAnsi="Times New Roman"/>
          <w:b w:val="0"/>
          <w:i w:val="0"/>
          <w:sz w:val="20"/>
        </w:rPr>
        <w:t>n</w:t>
      </w:r>
      <w:r>
        <w:rPr>
          <w:rFonts w:ascii="Times New Roman" w:hAnsi="Times New Roman"/>
          <w:b w:val="0"/>
          <w:i w:val="0"/>
          <w:sz w:val="20"/>
          <w:vertAlign w:val="subscript"/>
        </w:rPr>
        <w:t>docs</w:t>
      </w:r>
      <w:r>
        <w:rPr>
          <w:rFonts w:ascii="Times New Roman" w:hAnsi="Times New Roman"/>
          <w:b w:val="0"/>
          <w:i w:val="0"/>
          <w:sz w:val="20"/>
        </w:rPr>
        <w:t xml:space="preserve"> = 75,233</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Alarm definition</w:t>
            </w:r>
          </w:p>
        </w:tc>
        <w:tc>
          <w:tcPr>
            <w:tcW w:type="dxa" w:w="2160"/>
          </w:tcPr>
          <w:p>
            <w:pPr>
              <w:jc w:val="center"/>
            </w:pPr>
            <w:r/>
            <w:r>
              <w:rPr>
                <w:rFonts w:ascii="Times New Roman" w:hAnsi="Times New Roman"/>
                <w:b/>
                <w:i w:val="0"/>
                <w:sz w:val="16"/>
              </w:rPr>
              <w:t>Alarm set</w:t>
            </w:r>
          </w:p>
        </w:tc>
        <w:tc>
          <w:tcPr>
            <w:tcW w:type="dxa" w:w="2160"/>
          </w:tcPr>
          <w:p>
            <w:pPr>
              <w:jc w:val="center"/>
            </w:pPr>
            <w:r/>
            <w:r>
              <w:rPr>
                <w:rFonts w:ascii="Times New Roman" w:hAnsi="Times New Roman"/>
                <w:b/>
                <w:i w:val="0"/>
                <w:sz w:val="16"/>
              </w:rPr>
              <w:t>Document-level ICCR</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D1</w:t>
            </w:r>
          </w:p>
        </w:tc>
        <w:tc>
          <w:tcPr>
            <w:tcW w:type="dxa" w:w="2160"/>
          </w:tcPr>
          <w:p>
            <w:pPr>
              <w:jc w:val="center"/>
            </w:pPr>
            <w:r/>
            <w:r>
              <w:rPr>
                <w:rFonts w:ascii="Times New Roman" w:hAnsi="Times New Roman"/>
                <w:b w:val="0"/>
                <w:i w:val="0"/>
                <w:sz w:val="16"/>
              </w:rPr>
              <w:t>HC only</w:t>
            </w:r>
          </w:p>
        </w:tc>
        <w:tc>
          <w:tcPr>
            <w:tcW w:type="dxa" w:w="2160"/>
          </w:tcPr>
          <w:p>
            <w:pPr>
              <w:jc w:val="center"/>
            </w:pPr>
            <w:r/>
            <w:r>
              <w:rPr>
                <w:rFonts w:ascii="Times New Roman" w:hAnsi="Times New Roman"/>
                <w:b w:val="0"/>
                <w:i w:val="0"/>
                <w:sz w:val="16"/>
              </w:rPr>
              <w:t>0.1797</w:t>
            </w:r>
          </w:p>
        </w:tc>
        <w:tc>
          <w:tcPr>
            <w:tcW w:type="dxa" w:w="2160"/>
          </w:tcPr>
          <w:p>
            <w:pPr>
              <w:jc w:val="center"/>
            </w:pPr>
            <w:r/>
            <w:r>
              <w:rPr>
                <w:rFonts w:ascii="Times New Roman" w:hAnsi="Times New Roman"/>
                <w:b w:val="0"/>
                <w:i w:val="0"/>
                <w:sz w:val="16"/>
              </w:rPr>
              <w:t>[0.1770, 0.1825]</w:t>
            </w:r>
          </w:p>
        </w:tc>
      </w:tr>
      <w:tr>
        <w:tc>
          <w:tcPr>
            <w:tcW w:type="dxa" w:w="2160"/>
          </w:tcPr>
          <w:p>
            <w:pPr>
              <w:jc w:val="center"/>
            </w:pPr>
            <w:r/>
            <w:r>
              <w:rPr>
                <w:rFonts w:ascii="Times New Roman" w:hAnsi="Times New Roman"/>
                <w:b w:val="0"/>
                <w:i w:val="0"/>
                <w:sz w:val="16"/>
              </w:rPr>
              <w:t>D2 (operational)</w:t>
            </w:r>
          </w:p>
        </w:tc>
        <w:tc>
          <w:tcPr>
            <w:tcW w:type="dxa" w:w="2160"/>
          </w:tcPr>
          <w:p>
            <w:pPr>
              <w:jc w:val="center"/>
            </w:pPr>
            <w:r/>
            <w:r>
              <w:rPr>
                <w:rFonts w:ascii="Times New Roman" w:hAnsi="Times New Roman"/>
                <w:b w:val="0"/>
                <w:i w:val="0"/>
                <w:sz w:val="16"/>
              </w:rPr>
              <w:t>HC + MC</w:t>
            </w:r>
          </w:p>
        </w:tc>
        <w:tc>
          <w:tcPr>
            <w:tcW w:type="dxa" w:w="2160"/>
          </w:tcPr>
          <w:p>
            <w:pPr>
              <w:jc w:val="center"/>
            </w:pPr>
            <w:r/>
            <w:r>
              <w:rPr>
                <w:rFonts w:ascii="Times New Roman" w:hAnsi="Times New Roman"/>
                <w:b w:val="0"/>
                <w:i w:val="0"/>
                <w:sz w:val="16"/>
              </w:rPr>
              <w:t>0.3375</w:t>
            </w:r>
          </w:p>
        </w:tc>
        <w:tc>
          <w:tcPr>
            <w:tcW w:type="dxa" w:w="2160"/>
          </w:tcPr>
          <w:p>
            <w:pPr>
              <w:jc w:val="center"/>
            </w:pPr>
            <w:r/>
            <w:r>
              <w:rPr>
                <w:rFonts w:ascii="Times New Roman" w:hAnsi="Times New Roman"/>
                <w:b w:val="0"/>
                <w:i w:val="0"/>
                <w:sz w:val="16"/>
              </w:rPr>
              <w:t>[0.3342, 0.3409]</w:t>
            </w:r>
          </w:p>
        </w:tc>
      </w:tr>
      <w:tr>
        <w:tc>
          <w:tcPr>
            <w:tcW w:type="dxa" w:w="2160"/>
          </w:tcPr>
          <w:p>
            <w:pPr>
              <w:jc w:val="center"/>
            </w:pPr>
            <w:r/>
            <w:r>
              <w:rPr>
                <w:rFonts w:ascii="Times New Roman" w:hAnsi="Times New Roman"/>
                <w:b w:val="0"/>
                <w:i w:val="0"/>
                <w:sz w:val="16"/>
              </w:rPr>
              <w:t>D3</w:t>
            </w:r>
          </w:p>
        </w:tc>
        <w:tc>
          <w:tcPr>
            <w:tcW w:type="dxa" w:w="2160"/>
          </w:tcPr>
          <w:p>
            <w:pPr>
              <w:jc w:val="center"/>
            </w:pPr>
            <w:r/>
            <w:r>
              <w:rPr>
                <w:rFonts w:ascii="Times New Roman" w:hAnsi="Times New Roman"/>
                <w:b w:val="0"/>
                <w:i w:val="0"/>
                <w:sz w:val="16"/>
              </w:rPr>
              <w:t>HC + MC + HSC</w:t>
            </w:r>
          </w:p>
        </w:tc>
        <w:tc>
          <w:tcPr>
            <w:tcW w:type="dxa" w:w="2160"/>
          </w:tcPr>
          <w:p>
            <w:pPr>
              <w:jc w:val="center"/>
            </w:pPr>
            <w:r/>
            <w:r>
              <w:rPr>
                <w:rFonts w:ascii="Times New Roman" w:hAnsi="Times New Roman"/>
                <w:b w:val="0"/>
                <w:i w:val="0"/>
                <w:sz w:val="16"/>
              </w:rPr>
              <w:t>0.3384</w:t>
            </w:r>
          </w:p>
        </w:tc>
        <w:tc>
          <w:tcPr>
            <w:tcW w:type="dxa" w:w="2160"/>
          </w:tcPr>
          <w:p>
            <w:pPr>
              <w:jc w:val="center"/>
            </w:pPr>
            <w:r/>
            <w:r>
              <w:rPr>
                <w:rFonts w:ascii="Times New Roman" w:hAnsi="Times New Roman"/>
                <w:b w:val="0"/>
                <w:i w:val="0"/>
                <w:sz w:val="16"/>
              </w:rPr>
              <w:t>[0.3351, 0.3418]</w:t>
            </w:r>
          </w:p>
        </w:tc>
      </w:tr>
    </w:tbl>
    <w:p/>
    <w:p>
      <w:pPr>
        <w:spacing w:after="120"/>
      </w:pPr>
      <w:r>
        <w:rPr>
          <w:rFonts w:ascii="Times New Roman" w:hAnsi="Times New Roman"/>
          <w:b w:val="0"/>
          <w:i w:val="0"/>
          <w:sz w:val="20"/>
        </w:rPr>
        <w:t xml:space="preserve">Per-firm D2 document-level ICCR: Firm A </w:t>
      </w:r>
      <w:r>
        <w:rPr>
          <w:rFonts w:ascii="Times New Roman" w:hAnsi="Times New Roman"/>
          <w:b w:val="0"/>
          <w:i w:val="0"/>
          <w:sz w:val="20"/>
        </w:rPr>
        <w:t>0.6201</w:t>
      </w:r>
      <w:r>
        <w:rPr>
          <w:rFonts w:ascii="Times New Roman" w:hAnsi="Times New Roman"/>
          <w:b w:val="0"/>
          <w:i w:val="0"/>
          <w:sz w:val="20"/>
        </w:rPr>
        <w:t xml:space="preserve"> (</w:t>
      </w:r>
      <w:r>
        <w:rPr>
          <w:rFonts w:ascii="Times New Roman" w:hAnsi="Times New Roman"/>
          <w:b w:val="0"/>
          <w:i w:val="0"/>
          <w:sz w:val="20"/>
        </w:rPr>
        <w:t>n = 30,226</w:t>
      </w:r>
      <w:r>
        <w:rPr>
          <w:rFonts w:ascii="Times New Roman" w:hAnsi="Times New Roman"/>
          <w:b w:val="0"/>
          <w:i w:val="0"/>
          <w:sz w:val="20"/>
        </w:rPr>
        <w:t xml:space="preserve">); Firm B </w:t>
      </w:r>
      <w:r>
        <w:rPr>
          <w:rFonts w:ascii="Times New Roman" w:hAnsi="Times New Roman"/>
          <w:b w:val="0"/>
          <w:i w:val="0"/>
          <w:sz w:val="20"/>
        </w:rPr>
        <w:t>0.1600</w:t>
      </w:r>
      <w:r>
        <w:rPr>
          <w:rFonts w:ascii="Times New Roman" w:hAnsi="Times New Roman"/>
          <w:b w:val="0"/>
          <w:i w:val="0"/>
          <w:sz w:val="20"/>
        </w:rPr>
        <w:t xml:space="preserve"> (</w:t>
      </w:r>
      <w:r>
        <w:rPr>
          <w:rFonts w:ascii="Times New Roman" w:hAnsi="Times New Roman"/>
          <w:b w:val="0"/>
          <w:i w:val="0"/>
          <w:sz w:val="20"/>
        </w:rPr>
        <w:t>n = 17,127</w:t>
      </w:r>
      <w:r>
        <w:rPr>
          <w:rFonts w:ascii="Times New Roman" w:hAnsi="Times New Roman"/>
          <w:b w:val="0"/>
          <w:i w:val="0"/>
          <w:sz w:val="20"/>
        </w:rPr>
        <w:t xml:space="preserve">); Firm C </w:t>
      </w:r>
      <w:r>
        <w:rPr>
          <w:rFonts w:ascii="Times New Roman" w:hAnsi="Times New Roman"/>
          <w:b w:val="0"/>
          <w:i w:val="0"/>
          <w:sz w:val="20"/>
        </w:rPr>
        <w:t>0.1635</w:t>
      </w:r>
      <w:r>
        <w:rPr>
          <w:rFonts w:ascii="Times New Roman" w:hAnsi="Times New Roman"/>
          <w:b w:val="0"/>
          <w:i w:val="0"/>
          <w:sz w:val="20"/>
        </w:rPr>
        <w:t xml:space="preserve"> (</w:t>
      </w:r>
      <w:r>
        <w:rPr>
          <w:rFonts w:ascii="Times New Roman" w:hAnsi="Times New Roman"/>
          <w:b w:val="0"/>
          <w:i w:val="0"/>
          <w:sz w:val="20"/>
        </w:rPr>
        <w:t>n = 19,501</w:t>
      </w:r>
      <w:r>
        <w:rPr>
          <w:rFonts w:ascii="Times New Roman" w:hAnsi="Times New Roman"/>
          <w:b w:val="0"/>
          <w:i w:val="0"/>
          <w:sz w:val="20"/>
        </w:rPr>
        <w:t xml:space="preserve">); Firm D </w:t>
      </w:r>
      <w:r>
        <w:rPr>
          <w:rFonts w:ascii="Times New Roman" w:hAnsi="Times New Roman"/>
          <w:b w:val="0"/>
          <w:i w:val="0"/>
          <w:sz w:val="20"/>
        </w:rPr>
        <w:t>0.0863</w:t>
      </w:r>
      <w:r>
        <w:rPr>
          <w:rFonts w:ascii="Times New Roman" w:hAnsi="Times New Roman"/>
          <w:b w:val="0"/>
          <w:i w:val="0"/>
          <w:sz w:val="20"/>
        </w:rPr>
        <w:t xml:space="preserve"> (</w:t>
      </w:r>
      <w:r>
        <w:rPr>
          <w:rFonts w:ascii="Times New Roman" w:hAnsi="Times New Roman"/>
          <w:b w:val="0"/>
          <w:i w:val="0"/>
          <w:sz w:val="20"/>
        </w:rPr>
        <w:t>n = 8,379</w:t>
      </w:r>
      <w:r>
        <w:rPr>
          <w:rFonts w:ascii="Times New Roman" w:hAnsi="Times New Roman"/>
          <w:b w:val="0"/>
          <w:i w:val="0"/>
          <w:sz w:val="20"/>
        </w:rPr>
        <w:t xml:space="preserve">). The Firm C denominator </w:t>
      </w:r>
      <w:r>
        <w:rPr>
          <w:rFonts w:ascii="Times New Roman" w:hAnsi="Times New Roman"/>
          <w:b w:val="0"/>
          <w:i w:val="0"/>
          <w:sz w:val="20"/>
        </w:rPr>
        <w:t>n = 19,501</w:t>
      </w:r>
      <w:r>
        <w:rPr>
          <w:rFonts w:ascii="Times New Roman" w:hAnsi="Times New Roman"/>
          <w:b w:val="0"/>
          <w:i w:val="0"/>
          <w:sz w:val="20"/>
        </w:rPr>
        <w:t xml:space="preserve"> exceeds Table XVI's single-firm Firm C count of </w:t>
      </w:r>
      <w:r>
        <w:rPr>
          <w:rFonts w:ascii="Times New Roman" w:hAnsi="Times New Roman"/>
          <w:b w:val="0"/>
          <w:i w:val="0"/>
          <w:sz w:val="20"/>
        </w:rPr>
        <w:t>19,122</w:t>
      </w:r>
      <w:r>
        <w:rPr>
          <w:rFonts w:ascii="Times New Roman" w:hAnsi="Times New Roman"/>
          <w:b w:val="0"/>
          <w:i w:val="0"/>
          <w:sz w:val="20"/>
        </w:rPr>
        <w:t xml:space="preserve"> by exactly the </w:t>
      </w:r>
      <w:r>
        <w:rPr>
          <w:rFonts w:ascii="Times New Roman" w:hAnsi="Times New Roman"/>
          <w:b w:val="0"/>
          <w:i w:val="0"/>
          <w:sz w:val="20"/>
        </w:rPr>
        <w:t>379</w:t>
      </w:r>
      <w:r>
        <w:rPr>
          <w:rFonts w:ascii="Times New Roman" w:hAnsi="Times New Roman"/>
          <w:b w:val="0"/>
          <w:i w:val="0"/>
          <w:sz w:val="20"/>
        </w:rPr>
        <w:t xml:space="preserve"> mixed-firm PDFs (all </w:t>
      </w:r>
      <w:r>
        <w:rPr>
          <w:rFonts w:ascii="Times New Roman" w:hAnsi="Times New Roman"/>
          <w:b w:val="0"/>
          <w:i w:val="0"/>
          <w:sz w:val="20"/>
        </w:rPr>
        <w:t>379</w:t>
      </w:r>
      <w:r>
        <w:rPr>
          <w:rFonts w:ascii="Times New Roman" w:hAnsi="Times New Roman"/>
          <w:b w:val="0"/>
          <w:i w:val="0"/>
          <w:sz w:val="20"/>
        </w:rPr>
        <w:t xml:space="preserve"> are </w:t>
      </w:r>
      <w:r>
        <w:rPr>
          <w:rFonts w:ascii="Times New Roman" w:hAnsi="Times New Roman"/>
          <w:b w:val="0"/>
          <w:i w:val="0"/>
          <w:sz w:val="20"/>
        </w:rPr>
        <w:t>1{:}1</w:t>
      </w:r>
      <w:r>
        <w:rPr>
          <w:rFonts w:ascii="Times New Roman" w:hAnsi="Times New Roman"/>
          <w:b w:val="0"/>
          <w:i w:val="0"/>
          <w:sz w:val="20"/>
        </w:rPr>
        <w:t xml:space="preserve"> Firm C / Firm D documents that an alphabetically-ordered tie-break assigns to Firm C; full implementation detail in the supplementary materials). The four per-firm denominators here therefore sum to the full </w:t>
      </w:r>
      <w:r>
        <w:rPr>
          <w:rFonts w:ascii="Times New Roman" w:hAnsi="Times New Roman"/>
          <w:b w:val="0"/>
          <w:i w:val="0"/>
          <w:sz w:val="20"/>
        </w:rPr>
        <w:t>75,233</w:t>
      </w:r>
      <w:r>
        <w:rPr>
          <w:rFonts w:ascii="Times New Roman" w:hAnsi="Times New Roman"/>
          <w:b w:val="0"/>
          <w:i w:val="0"/>
          <w:sz w:val="20"/>
        </w:rPr>
        <w:t xml:space="preserve">, whereas Table XVI's per-firm rows sum to </w:t>
      </w:r>
      <w:r>
        <w:rPr>
          <w:rFonts w:ascii="Times New Roman" w:hAnsi="Times New Roman"/>
          <w:b w:val="0"/>
          <w:i w:val="0"/>
          <w:sz w:val="20"/>
        </w:rPr>
        <w:t>74,854 = 75,233 - 379</w:t>
      </w:r>
      <w:r>
        <w:rPr>
          <w:rFonts w:ascii="Times New Roman" w:hAnsi="Times New Roman"/>
          <w:b w:val="0"/>
          <w:i w:val="0"/>
          <w:sz w:val="20"/>
        </w:rPr>
        <w:t>.</w:t>
      </w:r>
    </w:p>
    <w:p>
      <w:pPr>
        <w:pStyle w:val="Heading3"/>
      </w:pPr>
      <w:r>
        <w:rPr>
          <w:color w:val="000000"/>
        </w:rPr>
        <w:t>M.5 Firm heterogeneity logistic regression and cross-firm hit matrix (Script 44)</w:t>
      </w:r>
    </w:p>
    <w:p>
      <w:pPr>
        <w:spacing w:after="120"/>
      </w:pPr>
      <w:r>
        <w:rPr>
          <w:rFonts w:ascii="Times New Roman" w:hAnsi="Times New Roman"/>
          <w:b w:val="0"/>
          <w:i w:val="0"/>
          <w:sz w:val="20"/>
        </w:rPr>
        <w:t>Table XXIV. Logistic regression of per-signature any-pair HC hit indicator on firm dummies and centred log pool size (Firm A reference).</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Term</w:t>
            </w:r>
          </w:p>
        </w:tc>
        <w:tc>
          <w:tcPr>
            <w:tcW w:type="dxa" w:w="2880"/>
          </w:tcPr>
          <w:p>
            <w:pPr>
              <w:jc w:val="center"/>
            </w:pPr>
            <w:r/>
            <w:r>
              <w:rPr>
                <w:rFonts w:ascii="Times New Roman" w:hAnsi="Times New Roman"/>
                <w:b/>
                <w:i w:val="0"/>
                <w:sz w:val="16"/>
              </w:rPr>
              <w:t>Odds ratio (vs Firm A)</w:t>
            </w:r>
          </w:p>
        </w:tc>
        <w:tc>
          <w:tcPr>
            <w:tcW w:type="dxa" w:w="2880"/>
          </w:tcPr>
          <w:p>
            <w:pPr>
              <w:jc w:val="center"/>
            </w:pPr>
            <w:r/>
            <w:r>
              <w:rPr>
                <w:rFonts w:ascii="Times New Roman" w:hAnsi="Times New Roman"/>
                <w:b/>
                <w:i w:val="0"/>
                <w:sz w:val="16"/>
              </w:rPr>
              <w:t>Direction</w:t>
            </w:r>
          </w:p>
        </w:tc>
      </w:tr>
      <w:tr>
        <w:tc>
          <w:tcPr>
            <w:tcW w:type="dxa" w:w="2880"/>
          </w:tcPr>
          <w:p>
            <w:pPr>
              <w:jc w:val="center"/>
            </w:pPr>
            <w:r/>
            <w:r>
              <w:rPr>
                <w:rFonts w:ascii="Times New Roman" w:hAnsi="Times New Roman"/>
                <w:b w:val="0"/>
                <w:i w:val="0"/>
                <w:sz w:val="16"/>
              </w:rPr>
              <w:t>Firm B</w:t>
            </w:r>
          </w:p>
        </w:tc>
        <w:tc>
          <w:tcPr>
            <w:tcW w:type="dxa" w:w="2880"/>
          </w:tcPr>
          <w:p>
            <w:pPr>
              <w:jc w:val="center"/>
            </w:pPr>
            <w:r/>
            <w:r>
              <w:rPr>
                <w:rFonts w:ascii="Times New Roman" w:hAnsi="Times New Roman"/>
                <w:b w:val="0"/>
                <w:i w:val="0"/>
                <w:sz w:val="16"/>
              </w:rPr>
              <w:t>0.053</w:t>
            </w:r>
          </w:p>
        </w:tc>
        <w:tc>
          <w:tcPr>
            <w:tcW w:type="dxa" w:w="2880"/>
          </w:tcPr>
          <w:p>
            <w:pPr>
              <w:jc w:val="center"/>
            </w:pPr>
            <w:r/>
            <w:r>
              <w:rPr>
                <w:rFonts w:ascii="Times New Roman" w:hAnsi="Times New Roman"/>
                <w:b w:val="0"/>
                <w:i w:val="0"/>
                <w:sz w:val="16"/>
              </w:rPr>
              <w:t>~ 19×</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Firm C</w:t>
            </w:r>
          </w:p>
        </w:tc>
        <w:tc>
          <w:tcPr>
            <w:tcW w:type="dxa" w:w="2880"/>
          </w:tcPr>
          <w:p>
            <w:pPr>
              <w:jc w:val="center"/>
            </w:pPr>
            <w:r/>
            <w:r>
              <w:rPr>
                <w:rFonts w:ascii="Times New Roman" w:hAnsi="Times New Roman"/>
                <w:b w:val="0"/>
                <w:i w:val="0"/>
                <w:sz w:val="16"/>
              </w:rPr>
              <w:t>0.010</w:t>
            </w:r>
          </w:p>
        </w:tc>
        <w:tc>
          <w:tcPr>
            <w:tcW w:type="dxa" w:w="2880"/>
          </w:tcPr>
          <w:p>
            <w:pPr>
              <w:jc w:val="center"/>
            </w:pPr>
            <w:r/>
            <w:r>
              <w:rPr>
                <w:rFonts w:ascii="Times New Roman" w:hAnsi="Times New Roman"/>
                <w:b w:val="0"/>
                <w:i w:val="0"/>
                <w:sz w:val="16"/>
              </w:rPr>
              <w:t>~ 100×</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Firm D</w:t>
            </w:r>
          </w:p>
        </w:tc>
        <w:tc>
          <w:tcPr>
            <w:tcW w:type="dxa" w:w="2880"/>
          </w:tcPr>
          <w:p>
            <w:pPr>
              <w:jc w:val="center"/>
            </w:pPr>
            <w:r/>
            <w:r>
              <w:rPr>
                <w:rFonts w:ascii="Times New Roman" w:hAnsi="Times New Roman"/>
                <w:b w:val="0"/>
                <w:i w:val="0"/>
                <w:sz w:val="16"/>
              </w:rPr>
              <w:t>0.027</w:t>
            </w:r>
          </w:p>
        </w:tc>
        <w:tc>
          <w:tcPr>
            <w:tcW w:type="dxa" w:w="2880"/>
          </w:tcPr>
          <w:p>
            <w:pPr>
              <w:jc w:val="center"/>
            </w:pPr>
            <w:r/>
            <w:r>
              <w:rPr>
                <w:rFonts w:ascii="Times New Roman" w:hAnsi="Times New Roman"/>
                <w:b w:val="0"/>
                <w:i w:val="0"/>
                <w:sz w:val="16"/>
              </w:rPr>
              <w:t>~ 37×</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log(pool size, centred)</w:t>
            </w:r>
          </w:p>
        </w:tc>
        <w:tc>
          <w:tcPr>
            <w:tcW w:type="dxa" w:w="2880"/>
          </w:tcPr>
          <w:p>
            <w:pPr>
              <w:jc w:val="center"/>
            </w:pPr>
            <w:r/>
            <w:r>
              <w:rPr>
                <w:rFonts w:ascii="Times New Roman" w:hAnsi="Times New Roman"/>
                <w:b w:val="0"/>
                <w:i w:val="0"/>
                <w:sz w:val="16"/>
              </w:rPr>
              <w:t>4.01</w:t>
            </w:r>
          </w:p>
        </w:tc>
        <w:tc>
          <w:tcPr>
            <w:tcW w:type="dxa" w:w="2880"/>
          </w:tcPr>
          <w:p>
            <w:pPr>
              <w:jc w:val="center"/>
            </w:pPr>
            <w:r/>
            <w:r>
              <w:rPr>
                <w:rFonts w:ascii="Times New Roman" w:hAnsi="Times New Roman"/>
                <w:b w:val="0"/>
                <w:i w:val="0"/>
                <w:sz w:val="16"/>
              </w:rPr>
              <w:t>~ 4×</w:t>
            </w:r>
            <w:r>
              <w:rPr>
                <w:rFonts w:ascii="Times New Roman" w:hAnsi="Times New Roman"/>
                <w:b w:val="0"/>
                <w:i w:val="0"/>
                <w:sz w:val="16"/>
              </w:rPr>
              <w:t xml:space="preserve"> higher odds per log unit pool size</w:t>
            </w:r>
          </w:p>
        </w:tc>
      </w:tr>
    </w:tbl>
    <w:p/>
    <w:p>
      <w:pPr>
        <w:spacing w:after="120"/>
      </w:pPr>
      <w:r>
        <w:rPr>
          <w:rFonts w:ascii="Times New Roman" w:hAnsi="Times New Roman"/>
          <w:b w:val="0"/>
          <w:i w:val="0"/>
          <w:sz w:val="20"/>
        </w:rPr>
        <w:t xml:space="preserve">Per-decile per-firm rates (Table not duplicated here; Script 44 decile table available in the supplementary report): within every pool-size decile, Firms B/C/D show rates of </w:t>
      </w:r>
      <w:r>
        <w:rPr>
          <w:rFonts w:ascii="Times New Roman" w:hAnsi="Times New Roman"/>
          <w:b w:val="0"/>
          <w:i w:val="0"/>
          <w:sz w:val="20"/>
        </w:rPr>
        <w:t>0.0006</w:t>
      </w:r>
      <w:r>
        <w:rPr>
          <w:rFonts w:ascii="Times New Roman" w:hAnsi="Times New Roman"/>
          <w:b w:val="0"/>
          <w:i w:val="0"/>
          <w:sz w:val="20"/>
        </w:rPr>
        <w:t>–</w:t>
      </w:r>
      <w:r>
        <w:rPr>
          <w:rFonts w:ascii="Times New Roman" w:hAnsi="Times New Roman"/>
          <w:b w:val="0"/>
          <w:i w:val="0"/>
          <w:sz w:val="20"/>
        </w:rPr>
        <w:t>0.0358</w:t>
      </w:r>
      <w:r>
        <w:rPr>
          <w:rFonts w:ascii="Times New Roman" w:hAnsi="Times New Roman"/>
          <w:b w:val="0"/>
          <w:i w:val="0"/>
          <w:sz w:val="20"/>
        </w:rPr>
        <w:t xml:space="preserve"> while Firm A ranges </w:t>
      </w:r>
      <w:r>
        <w:rPr>
          <w:rFonts w:ascii="Times New Roman" w:hAnsi="Times New Roman"/>
          <w:b w:val="0"/>
          <w:i w:val="0"/>
          <w:sz w:val="20"/>
        </w:rPr>
        <w:t>0.0541</w:t>
      </w:r>
      <w:r>
        <w:rPr>
          <w:rFonts w:ascii="Times New Roman" w:hAnsi="Times New Roman"/>
          <w:b w:val="0"/>
          <w:i w:val="0"/>
          <w:sz w:val="20"/>
        </w:rPr>
        <w:t>–</w:t>
      </w:r>
      <w:r>
        <w:rPr>
          <w:rFonts w:ascii="Times New Roman" w:hAnsi="Times New Roman"/>
          <w:b w:val="0"/>
          <w:i w:val="0"/>
          <w:sz w:val="20"/>
        </w:rPr>
        <w:t>0.5958</w:t>
      </w:r>
      <w:r>
        <w:rPr>
          <w:rFonts w:ascii="Times New Roman" w:hAnsi="Times New Roman"/>
          <w:b w:val="0"/>
          <w:i w:val="0"/>
          <w:sz w:val="20"/>
        </w:rPr>
        <w:t>. The firm gap survives within matched pool sizes.</w:t>
      </w:r>
    </w:p>
    <w:p>
      <w:pPr>
        <w:spacing w:after="120"/>
      </w:pPr>
      <w:r>
        <w:rPr>
          <w:rFonts w:ascii="Times New Roman" w:hAnsi="Times New Roman"/>
          <w:b w:val="0"/>
          <w:i w:val="0"/>
          <w:sz w:val="20"/>
        </w:rPr>
        <w:t>Table XXV. Cross-firm hit matrix among Big-4 source signatures with any-pair HC hit; max-cosine partner firm (counts).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Source firm</w:t>
            </w:r>
          </w:p>
        </w:tc>
        <w:tc>
          <w:tcPr>
            <w:tcW w:type="dxa" w:w="1234"/>
          </w:tcPr>
          <w:p>
            <w:pPr>
              <w:jc w:val="center"/>
            </w:pPr>
            <w:r/>
            <w:r>
              <w:rPr>
                <w:rFonts w:ascii="Times New Roman" w:hAnsi="Times New Roman"/>
                <w:b/>
                <w:i w:val="0"/>
                <w:sz w:val="16"/>
              </w:rPr>
              <w:t>Firm A cand.</w:t>
            </w:r>
          </w:p>
        </w:tc>
        <w:tc>
          <w:tcPr>
            <w:tcW w:type="dxa" w:w="1234"/>
          </w:tcPr>
          <w:p>
            <w:pPr>
              <w:jc w:val="center"/>
            </w:pPr>
            <w:r/>
            <w:r>
              <w:rPr>
                <w:rFonts w:ascii="Times New Roman" w:hAnsi="Times New Roman"/>
                <w:b/>
                <w:i w:val="0"/>
                <w:sz w:val="16"/>
              </w:rPr>
              <w:t>Firm B</w:t>
            </w:r>
          </w:p>
        </w:tc>
        <w:tc>
          <w:tcPr>
            <w:tcW w:type="dxa" w:w="1234"/>
          </w:tcPr>
          <w:p>
            <w:pPr>
              <w:jc w:val="center"/>
            </w:pPr>
            <w:r/>
            <w:r>
              <w:rPr>
                <w:rFonts w:ascii="Times New Roman" w:hAnsi="Times New Roman"/>
                <w:b/>
                <w:i w:val="0"/>
                <w:sz w:val="16"/>
              </w:rPr>
              <w:t>Firm C</w:t>
            </w:r>
          </w:p>
        </w:tc>
        <w:tc>
          <w:tcPr>
            <w:tcW w:type="dxa" w:w="1234"/>
          </w:tcPr>
          <w:p>
            <w:pPr>
              <w:jc w:val="center"/>
            </w:pPr>
            <w:r/>
            <w:r>
              <w:rPr>
                <w:rFonts w:ascii="Times New Roman" w:hAnsi="Times New Roman"/>
                <w:b/>
                <w:i w:val="0"/>
                <w:sz w:val="16"/>
              </w:rPr>
              <w:t>Firm D</w:t>
            </w:r>
          </w:p>
        </w:tc>
        <w:tc>
          <w:tcPr>
            <w:tcW w:type="dxa" w:w="1234"/>
          </w:tcPr>
          <w:p>
            <w:pPr>
              <w:jc w:val="center"/>
            </w:pPr>
            <w:r/>
            <w:r>
              <w:rPr>
                <w:rFonts w:ascii="Times New Roman" w:hAnsi="Times New Roman"/>
                <w:b/>
                <w:i w:val="0"/>
                <w:sz w:val="16"/>
              </w:rPr>
              <w:t>non-Big-4</w:t>
            </w:r>
          </w:p>
        </w:tc>
        <w:tc>
          <w:tcPr>
            <w:tcW w:type="dxa" w:w="1234"/>
          </w:tcPr>
          <w:p>
            <w:pPr>
              <w:jc w:val="center"/>
            </w:pPr>
            <w:r/>
            <w:r>
              <w:rPr>
                <w:rFonts w:ascii="Times New Roman" w:hAnsi="Times New Roman"/>
                <w:b/>
                <w:i w:val="0"/>
                <w:sz w:val="16"/>
              </w:rPr>
              <w:t>n hits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14,447</w:t>
            </w:r>
          </w:p>
        </w:tc>
        <w:tc>
          <w:tcPr>
            <w:tcW w:type="dxa" w:w="1234"/>
          </w:tcPr>
          <w:p>
            <w:pPr>
              <w:jc w:val="center"/>
            </w:pPr>
            <w:r/>
            <w:r>
              <w:rPr>
                <w:rFonts w:ascii="Times New Roman" w:hAnsi="Times New Roman"/>
                <w:b w:val="0"/>
                <w:i w:val="0"/>
                <w:sz w:val="16"/>
              </w:rPr>
              <w:t>95</w:t>
            </w:r>
          </w:p>
        </w:tc>
        <w:tc>
          <w:tcPr>
            <w:tcW w:type="dxa" w:w="1234"/>
          </w:tcPr>
          <w:p>
            <w:pPr>
              <w:jc w:val="center"/>
            </w:pPr>
            <w:r/>
            <w:r>
              <w:rPr>
                <w:rFonts w:ascii="Times New Roman" w:hAnsi="Times New Roman"/>
                <w:b w:val="0"/>
                <w:i w:val="0"/>
                <w:sz w:val="16"/>
              </w:rPr>
              <w:t>44</w:t>
            </w:r>
          </w:p>
        </w:tc>
        <w:tc>
          <w:tcPr>
            <w:tcW w:type="dxa" w:w="1234"/>
          </w:tcPr>
          <w:p>
            <w:pPr>
              <w:jc w:val="center"/>
            </w:pPr>
            <w:r/>
            <w:r>
              <w:rPr>
                <w:rFonts w:ascii="Times New Roman" w:hAnsi="Times New Roman"/>
                <w:b w:val="0"/>
                <w:i w:val="0"/>
                <w:sz w:val="16"/>
              </w:rPr>
              <w:t>19</w:t>
            </w:r>
          </w:p>
        </w:tc>
        <w:tc>
          <w:tcPr>
            <w:tcW w:type="dxa" w:w="1234"/>
          </w:tcPr>
          <w:p>
            <w:pPr>
              <w:jc w:val="center"/>
            </w:pPr>
            <w:r/>
            <w:r>
              <w:rPr>
                <w:rFonts w:ascii="Times New Roman" w:hAnsi="Times New Roman"/>
                <w:b w:val="0"/>
                <w:i w:val="0"/>
                <w:sz w:val="16"/>
              </w:rPr>
              <w:t>17</w:t>
            </w:r>
          </w:p>
        </w:tc>
        <w:tc>
          <w:tcPr>
            <w:tcW w:type="dxa" w:w="1234"/>
          </w:tcPr>
          <w:p>
            <w:pPr>
              <w:jc w:val="center"/>
            </w:pPr>
            <w:r/>
            <w:r>
              <w:rPr>
                <w:rFonts w:ascii="Times New Roman" w:hAnsi="Times New Roman"/>
                <w:b w:val="0"/>
                <w:i w:val="0"/>
                <w:sz w:val="16"/>
              </w:rPr>
              <w:t>14,622</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92</w:t>
            </w:r>
          </w:p>
        </w:tc>
        <w:tc>
          <w:tcPr>
            <w:tcW w:type="dxa" w:w="1234"/>
          </w:tcPr>
          <w:p>
            <w:pPr>
              <w:jc w:val="center"/>
            </w:pPr>
            <w:r/>
            <w:r>
              <w:rPr>
                <w:rFonts w:ascii="Times New Roman" w:hAnsi="Times New Roman"/>
                <w:b w:val="0"/>
                <w:i w:val="0"/>
                <w:sz w:val="16"/>
              </w:rPr>
              <w:t>371</w:t>
            </w:r>
          </w:p>
        </w:tc>
        <w:tc>
          <w:tcPr>
            <w:tcW w:type="dxa" w:w="1234"/>
          </w:tcPr>
          <w:p>
            <w:pPr>
              <w:jc w:val="center"/>
            </w:pPr>
            <w:r/>
            <w:r>
              <w:rPr>
                <w:rFonts w:ascii="Times New Roman" w:hAnsi="Times New Roman"/>
                <w:b w:val="0"/>
                <w:i w:val="0"/>
                <w:sz w:val="16"/>
              </w:rPr>
              <w:t>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9</w:t>
            </w:r>
          </w:p>
        </w:tc>
        <w:tc>
          <w:tcPr>
            <w:tcW w:type="dxa" w:w="1234"/>
          </w:tcPr>
          <w:p>
            <w:pPr>
              <w:jc w:val="center"/>
            </w:pPr>
            <w:r/>
            <w:r>
              <w:rPr>
                <w:rFonts w:ascii="Times New Roman" w:hAnsi="Times New Roman"/>
                <w:b w:val="0"/>
                <w:i w:val="0"/>
                <w:sz w:val="16"/>
              </w:rPr>
              <w:t>484</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16</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149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178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106</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137</w:t>
            </w:r>
          </w:p>
        </w:tc>
      </w:tr>
    </w:tbl>
    <w:p/>
    <w:p>
      <w:pPr>
        <w:spacing w:after="120"/>
      </w:pPr>
      <w:r>
        <w:rPr>
          <w:rFonts w:ascii="Times New Roman" w:hAnsi="Times New Roman"/>
          <w:b w:val="0"/>
          <w:i w:val="0"/>
          <w:sz w:val="20"/>
        </w:rPr>
        <w:t xml:space="preserve">Same-pair joint hits (single candidate satisfying both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are within-firm at rates </w:t>
      </w:r>
      <w:r>
        <w:rPr>
          <w:rFonts w:ascii="Times New Roman" w:hAnsi="Times New Roman"/>
          <w:b w:val="0"/>
          <w:i w:val="0"/>
          <w:sz w:val="20"/>
        </w:rPr>
        <w:t>99.96%</w:t>
      </w:r>
      <w:r>
        <w:rPr>
          <w:rFonts w:ascii="Times New Roman" w:hAnsi="Times New Roman"/>
          <w:b w:val="0"/>
          <w:i w:val="0"/>
          <w:sz w:val="20"/>
        </w:rPr>
        <w:t xml:space="preserve"> / </w:t>
      </w:r>
      <w:r>
        <w:rPr>
          <w:rFonts w:ascii="Times New Roman" w:hAnsi="Times New Roman"/>
          <w:b w:val="0"/>
          <w:i w:val="0"/>
          <w:sz w:val="20"/>
        </w:rPr>
        <w:t>97.7%</w:t>
      </w:r>
      <w:r>
        <w:rPr>
          <w:rFonts w:ascii="Times New Roman" w:hAnsi="Times New Roman"/>
          <w:b w:val="0"/>
          <w:i w:val="0"/>
          <w:sz w:val="20"/>
        </w:rPr>
        <w:t xml:space="preserve"> / </w:t>
      </w:r>
      <w:r>
        <w:rPr>
          <w:rFonts w:ascii="Times New Roman" w:hAnsi="Times New Roman"/>
          <w:b w:val="0"/>
          <w:i w:val="0"/>
          <w:sz w:val="20"/>
        </w:rPr>
        <w:t>98.2%</w:t>
      </w:r>
      <w:r>
        <w:rPr>
          <w:rFonts w:ascii="Times New Roman" w:hAnsi="Times New Roman"/>
          <w:b w:val="0"/>
          <w:i w:val="0"/>
          <w:sz w:val="20"/>
        </w:rPr>
        <w:t xml:space="preserve"> / </w:t>
      </w:r>
      <w:r>
        <w:rPr>
          <w:rFonts w:ascii="Times New Roman" w:hAnsi="Times New Roman"/>
          <w:b w:val="0"/>
          <w:i w:val="0"/>
          <w:sz w:val="20"/>
        </w:rPr>
        <w:t>97.0%</w:t>
      </w:r>
      <w:r>
        <w:rPr>
          <w:rFonts w:ascii="Times New Roman" w:hAnsi="Times New Roman"/>
          <w:b w:val="0"/>
          <w:i w:val="0"/>
          <w:sz w:val="20"/>
        </w:rPr>
        <w:t xml:space="preserve"> for Firms A/B/C/D respectively.</w:t>
      </w:r>
    </w:p>
    <w:p>
      <w:pPr>
        <w:pStyle w:val="Heading3"/>
      </w:pPr>
      <w:r>
        <w:rPr>
          <w:color w:val="000000"/>
        </w:rPr>
        <w:t>M.6 Alert-rate sensitivity around deployed HC threshold (Script 46)</w:t>
      </w:r>
    </w:p>
    <w:p>
      <w:pPr>
        <w:spacing w:after="120"/>
      </w:pPr>
      <w:r>
        <w:rPr>
          <w:rFonts w:ascii="Times New Roman" w:hAnsi="Times New Roman"/>
          <w:b w:val="0"/>
          <w:i w:val="0"/>
          <w:sz w:val="20"/>
        </w:rPr>
        <w:t>Table XXVI. Local-gradient / median-gradient ratio at deployed thresholds (descriptive plateau diagnostic).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Local / median gradient ratio</w:t>
            </w:r>
          </w:p>
        </w:tc>
        <w:tc>
          <w:tcPr>
            <w:tcW w:type="dxa" w:w="2880"/>
          </w:tcPr>
          <w:p>
            <w:pPr>
              <w:jc w:val="center"/>
            </w:pPr>
            <w:r/>
            <w:r>
              <w:rPr>
                <w:rFonts w:ascii="Times New Roman" w:hAnsi="Times New Roman"/>
                <w:b/>
                <w:i w:val="0"/>
                <w:sz w:val="16"/>
              </w:rPr>
              <w:t>Interpretation</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 0.95</w:t>
            </w:r>
            <w:r>
              <w:rPr>
                <w:rFonts w:ascii="Times New Roman" w:hAnsi="Times New Roman"/>
                <w:b w:val="0"/>
                <w:i w:val="0"/>
                <w:sz w:val="16"/>
              </w:rPr>
              <w:t xml:space="preserve"> (HC)</w:t>
            </w:r>
          </w:p>
        </w:tc>
        <w:tc>
          <w:tcPr>
            <w:tcW w:type="dxa" w:w="2880"/>
          </w:tcPr>
          <w:p>
            <w:pPr>
              <w:jc w:val="center"/>
            </w:pPr>
            <w:r/>
            <w:r>
              <w:rPr>
                <w:rFonts w:ascii="Times New Roman" w:hAnsi="Times New Roman"/>
                <w:b w:val="0"/>
                <w:i w:val="0"/>
                <w:sz w:val="16"/>
              </w:rPr>
              <w:t>≈ 25×</w:t>
            </w:r>
          </w:p>
        </w:tc>
        <w:tc>
          <w:tcPr>
            <w:tcW w:type="dxa" w:w="2880"/>
          </w:tcPr>
          <w:p>
            <w:pPr>
              <w:jc w:val="center"/>
            </w:pPr>
            <w:r/>
            <w:r>
              <w:rPr>
                <w:rFonts w:ascii="Times New Roman" w:hAnsi="Times New Roman"/>
                <w:b w:val="0"/>
                <w:i w:val="0"/>
                <w:sz w:val="16"/>
              </w:rPr>
              <w:t>locally sensitive (not plateau-stable)</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r>
              <w:rPr>
                <w:rFonts w:ascii="Times New Roman" w:hAnsi="Times New Roman"/>
                <w:b w:val="0"/>
                <w:i w:val="0"/>
                <w:sz w:val="16"/>
              </w:rPr>
              <w:t xml:space="preserve"> (HC)</w:t>
            </w:r>
          </w:p>
        </w:tc>
        <w:tc>
          <w:tcPr>
            <w:tcW w:type="dxa" w:w="2880"/>
          </w:tcPr>
          <w:p>
            <w:pPr>
              <w:jc w:val="center"/>
            </w:pPr>
            <w:r/>
            <w:r>
              <w:rPr>
                <w:rFonts w:ascii="Times New Roman" w:hAnsi="Times New Roman"/>
                <w:b w:val="0"/>
                <w:i w:val="0"/>
                <w:sz w:val="16"/>
              </w:rPr>
              <w:t>≈ 3.8×</w:t>
            </w:r>
          </w:p>
        </w:tc>
        <w:tc>
          <w:tcPr>
            <w:tcW w:type="dxa" w:w="2880"/>
          </w:tcPr>
          <w:p>
            <w:pPr>
              <w:jc w:val="center"/>
            </w:pPr>
            <w:r/>
            <w:r>
              <w:rPr>
                <w:rFonts w:ascii="Times New Roman" w:hAnsi="Times New Roman"/>
                <w:b w:val="0"/>
                <w:i w:val="0"/>
                <w:sz w:val="16"/>
              </w:rPr>
              <w:t>locally sensitive (not plateau-stable)</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15</w:t>
            </w:r>
            <w:r>
              <w:rPr>
                <w:rFonts w:ascii="Times New Roman" w:hAnsi="Times New Roman"/>
                <w:b w:val="0"/>
                <w:i w:val="0"/>
                <w:sz w:val="16"/>
              </w:rPr>
              <w:t xml:space="preserve"> (MC/HSC boundary)</w:t>
            </w:r>
          </w:p>
        </w:tc>
        <w:tc>
          <w:tcPr>
            <w:tcW w:type="dxa" w:w="2880"/>
          </w:tcPr>
          <w:p>
            <w:pPr>
              <w:jc w:val="center"/>
            </w:pPr>
            <w:r/>
            <w:r>
              <w:rPr>
                <w:rFonts w:ascii="Times New Roman" w:hAnsi="Times New Roman"/>
                <w:b w:val="0"/>
                <w:i w:val="0"/>
                <w:sz w:val="16"/>
              </w:rPr>
              <w:t>≈ 0.08</w:t>
            </w:r>
          </w:p>
        </w:tc>
        <w:tc>
          <w:tcPr>
            <w:tcW w:type="dxa" w:w="2880"/>
          </w:tcPr>
          <w:p>
            <w:pPr>
              <w:jc w:val="center"/>
            </w:pPr>
            <w:r/>
            <w:r>
              <w:rPr>
                <w:rFonts w:ascii="Times New Roman" w:hAnsi="Times New Roman"/>
                <w:b w:val="0"/>
                <w:i w:val="0"/>
                <w:sz w:val="16"/>
              </w:rPr>
              <w:t>plateau-like (saturating tail)</w:t>
            </w:r>
          </w:p>
        </w:tc>
      </w:tr>
    </w:tbl>
    <w:p/>
    <w:p>
      <w:pPr>
        <w:spacing w:after="120"/>
      </w:pPr>
      <w:r>
        <w:rPr>
          <w:rFonts w:ascii="Times New Roman" w:hAnsi="Times New Roman"/>
          <w:b w:val="0"/>
          <w:i w:val="0"/>
          <w:sz w:val="20"/>
        </w:rPr>
        <w:t xml:space="preserve">Big-4 observed deployed alert rate on actual same-CPA pools: per-signature HC </w:t>
      </w:r>
      <w:r>
        <w:rPr>
          <w:rFonts w:ascii="Times New Roman" w:hAnsi="Times New Roman"/>
          <w:b w:val="0"/>
          <w:i w:val="0"/>
          <w:sz w:val="20"/>
        </w:rPr>
        <w:t>= 0.4958</w:t>
      </w:r>
      <w:r>
        <w:rPr>
          <w:rFonts w:ascii="Times New Roman" w:hAnsi="Times New Roman"/>
          <w:b w:val="0"/>
          <w:i w:val="0"/>
          <w:sz w:val="20"/>
        </w:rPr>
        <w:t xml:space="preserve">; per-document HC </w:t>
      </w:r>
      <w:r>
        <w:rPr>
          <w:rFonts w:ascii="Times New Roman" w:hAnsi="Times New Roman"/>
          <w:b w:val="0"/>
          <w:i w:val="0"/>
          <w:sz w:val="20"/>
        </w:rPr>
        <w:t>= 0.6228</w:t>
      </w:r>
      <w:r>
        <w:rPr>
          <w:rFonts w:ascii="Times New Roman" w:hAnsi="Times New Roman"/>
          <w:b w:val="0"/>
          <w:i w:val="0"/>
          <w:sz w:val="20"/>
        </w:rPr>
        <w:t xml:space="preserve">. The deployed-rate excess over the inter-CPA proxy is </w:t>
      </w:r>
      <w:r>
        <w:rPr>
          <w:rFonts w:ascii="Times New Roman" w:hAnsi="Times New Roman"/>
          <w:b w:val="0"/>
          <w:i w:val="0"/>
          <w:sz w:val="20"/>
        </w:rPr>
        <w:t>0.3856</w:t>
      </w:r>
      <w:r>
        <w:rPr>
          <w:rFonts w:ascii="Times New Roman" w:hAnsi="Times New Roman"/>
          <w:b w:val="0"/>
          <w:i w:val="0"/>
          <w:sz w:val="20"/>
        </w:rPr>
        <w:t xml:space="preserve"> (</w:t>
      </w:r>
      <w:r>
        <w:rPr>
          <w:rFonts w:ascii="Times New Roman" w:hAnsi="Times New Roman"/>
          <w:b w:val="0"/>
          <w:i w:val="0"/>
          <w:sz w:val="20"/>
        </w:rPr>
        <w:t>38.6</w:t>
      </w:r>
      <w:r>
        <w:rPr>
          <w:rFonts w:ascii="Times New Roman" w:hAnsi="Times New Roman"/>
          <w:b w:val="0"/>
          <w:i w:val="0"/>
          <w:sz w:val="20"/>
        </w:rPr>
        <w:t xml:space="preserve"> pp) per-signature and </w:t>
      </w:r>
      <w:r>
        <w:rPr>
          <w:rFonts w:ascii="Times New Roman" w:hAnsi="Times New Roman"/>
          <w:b w:val="0"/>
          <w:i w:val="0"/>
          <w:sz w:val="20"/>
        </w:rPr>
        <w:t>0.4431</w:t>
      </w:r>
      <w:r>
        <w:rPr>
          <w:rFonts w:ascii="Times New Roman" w:hAnsi="Times New Roman"/>
          <w:b w:val="0"/>
          <w:i w:val="0"/>
          <w:sz w:val="20"/>
        </w:rPr>
        <w:t xml:space="preserve"> (</w:t>
      </w:r>
      <w:r>
        <w:rPr>
          <w:rFonts w:ascii="Times New Roman" w:hAnsi="Times New Roman"/>
          <w:b w:val="0"/>
          <w:i w:val="0"/>
          <w:sz w:val="20"/>
        </w:rPr>
        <w:t>44.3</w:t>
      </w:r>
      <w:r>
        <w:rPr>
          <w:rFonts w:ascii="Times New Roman" w:hAnsi="Times New Roman"/>
          <w:b w:val="0"/>
          <w:i w:val="0"/>
          <w:sz w:val="20"/>
        </w:rPr>
        <w:t xml:space="preserve"> pp) per-document; this excess is interpreted as a same-CPA repeatability signal under the §III-M caveats, not as a presumed true-positive rate.</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b w:val="0"/>
          <w:i w:val="0"/>
          <w:sz w:val="20"/>
        </w:rPr>
        <w:t>Non-hand-signing differs from forgery in that the questioned signature is produced by its legitimate signer's own stored image rather than by an impostor. The detection problem is therefore framed around intra-signer image reproduction rather than inter-signer imitation. This framing has analytical consequences. The within-CPA signature distribution is the analytical population of interest; the cross-CPA inter-class distribution is a reference against which intra-CPA similarity is interpreted, not the population to be modelled. This contrasts with most prior offline signature verification work, which treats genuine-versus-forged as the central two-class problem.</w:t>
      </w:r>
    </w:p>
    <w:p>
      <w:pPr>
        <w:pStyle w:val="Heading2"/>
      </w:pPr>
      <w:r>
        <w:rPr>
          <w:color w:val="000000"/>
        </w:rPr>
        <w:t>B. Per-Signature Similarity is a Continuous Quality Spectrum; the Accountant-Level Multimodality is Composition-Driven</w:t>
      </w:r>
    </w:p>
    <w:p>
      <w:pPr>
        <w:spacing w:after="120"/>
      </w:pPr>
      <w:r>
        <w:rPr>
          <w:rFonts w:ascii="Times New Roman" w:hAnsi="Times New Roman"/>
          <w:b w:val="0"/>
          <w:i w:val="0"/>
          <w:sz w:val="20"/>
        </w:rPr>
        <w:t xml:space="preserve">The Big-4 accountant-level descriptor distribution rejects unimodality on both marginals at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(§IV-D Table V). The composition decomposition of §III-I.4 shows that this rejection is fully attributable to two non-mechanistic sources: (a) between-firm location-shift effects on both axes — Firm A's mean dHash of </w:t>
      </w:r>
      <w:r>
        <w:rPr>
          <w:rFonts w:ascii="Times New Roman" w:hAnsi="Times New Roman"/>
          <w:b w:val="0"/>
          <w:i w:val="0"/>
          <w:sz w:val="20"/>
        </w:rPr>
        <w:t>2.73</w:t>
      </w:r>
      <w:r>
        <w:rPr>
          <w:rFonts w:ascii="Times New Roman" w:hAnsi="Times New Roman"/>
          <w:b w:val="0"/>
          <w:i w:val="0"/>
          <w:sz w:val="20"/>
        </w:rPr>
        <w:t xml:space="preserve"> versus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xml:space="preserve"> creates a multi-peaked pooled distribution that any single firm's distribution lacks — and (b) integer mass-point artefacts on the integer-valued dHash axis, which inflate the dip statistic against a continuous-density null. A 2×2 factorial diagnostic applied to the Big-4 pooled dHash (firm-mean centring × uniform integer jitter </w:t>
      </w:r>
      <w:r>
        <w:rPr>
          <w:rFonts w:ascii="Times New Roman" w:hAnsi="Times New Roman"/>
          <w:b w:val="0"/>
          <w:i w:val="0"/>
          <w:sz w:val="20"/>
        </w:rPr>
        <w:t>[-0.5, +0.5]</w:t>
      </w:r>
      <w:r>
        <w:rPr>
          <w:rFonts w:ascii="Times New Roman" w:hAnsi="Times New Roman"/>
          <w:b w:val="0"/>
          <w:i w:val="0"/>
          <w:sz w:val="20"/>
        </w:rPr>
        <w:t>, 5 jitter seeds) shows that the dip test fails to reject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0/5 seeds reject) when both corrections are applied; either correction alone leaves the rejection in place. Within the Big-4 firms, the descriptor marginals at the signature level are unimodal once integer ties are broken (Scripts 39b, 39d); eligible non-Big-4 firms provide corroborating raw-axis evidence on the cosine dimension (Script 39c) but are not used as calibration evidence (§III-I.4). The descriptor distributions therefore lack a within-population bimodal antimode that could anchor an operational threshold. The K=2 / K=3 mixture fits are retained in §III-J as descriptive partitions of the joint Big-4 distribution that reflect firm-compositional structure, not as inferential evidence for two or three latent mechanism modes.</w:t>
      </w:r>
    </w:p>
    <w:p>
      <w:pPr>
        <w:pStyle w:val="Heading2"/>
      </w:pPr>
      <w:r>
        <w:rPr>
          <w:color w:val="000000"/>
        </w:rPr>
        <w:t>C. Firm A as the Templated End of Big-4 (Case Study, Not Calibration Anchor)</w:t>
      </w:r>
    </w:p>
    <w:p>
      <w:pPr>
        <w:spacing w:after="120"/>
      </w:pPr>
      <w:r>
        <w:rPr>
          <w:rFonts w:ascii="Times New Roman" w:hAnsi="Times New Roman"/>
          <w:b w:val="0"/>
          <w:i w:val="0"/>
          <w:sz w:val="20"/>
        </w:rPr>
        <w:t xml:space="preserve">Firm A is empirically the firm whose CPAs are most concentrated in the high-cosine, low-dHash corner of the Big-4 descriptor plane. In the Big-4 K=3 hard-posterior assignment (now interpreted as a firm-compositional position assignment; §III-J), Firm A accounts for </w:t>
      </w:r>
      <w:r>
        <w:rPr>
          <w:rFonts w:ascii="Times New Roman" w:hAnsi="Times New Roman"/>
          <w:b w:val="0"/>
          <w:i w:val="0"/>
          <w:sz w:val="20"/>
        </w:rPr>
        <w:t>0%</w:t>
      </w:r>
      <w:r>
        <w:rPr>
          <w:rFonts w:ascii="Times New Roman" w:hAnsi="Times New Roman"/>
          <w:b w:val="0"/>
          <w:i w:val="0"/>
          <w:sz w:val="20"/>
        </w:rPr>
        <w:t xml:space="preserve"> of C1 (low-cos / high-dHash position) and </w:t>
      </w:r>
      <w:r>
        <w:rPr>
          <w:rFonts w:ascii="Times New Roman" w:hAnsi="Times New Roman"/>
          <w:b w:val="0"/>
          <w:i w:val="0"/>
          <w:sz w:val="20"/>
        </w:rPr>
        <w:t>82.5%</w:t>
      </w:r>
      <w:r>
        <w:rPr>
          <w:rFonts w:ascii="Times New Roman" w:hAnsi="Times New Roman"/>
          <w:b w:val="0"/>
          <w:i w:val="0"/>
          <w:sz w:val="20"/>
        </w:rPr>
        <w:t xml:space="preserve"> of C3 (high-cos / low-dHash position); the opposite pattern holds at Firm C, which has the highest C1 concentration at </w:t>
      </w:r>
      <w:r>
        <w:rPr>
          <w:rFonts w:ascii="Times New Roman" w:hAnsi="Times New Roman"/>
          <w:b w:val="0"/>
          <w:i w:val="0"/>
          <w:sz w:val="20"/>
        </w:rPr>
        <w:t>23.5%</w:t>
      </w:r>
      <w:r>
        <w:rPr>
          <w:rFonts w:ascii="Times New Roman" w:hAnsi="Times New Roman"/>
          <w:b w:val="0"/>
          <w:i w:val="0"/>
          <w:sz w:val="20"/>
        </w:rPr>
        <w:t>. Firm A also accounts for 145 of the 262 byte-identical signatures in the Big-4 byte-identical anchor of §IV-H (with Firm B 8, Firm C 107, Firm D 2). Byte-level decomposition of the 145 Firm A pixel-identical signatures (see supplementary materials) shows they span 50 distinct Firm A partners (of 180 registered), with 35 byte-identical matches occurring across different fiscal years.</w:t>
      </w:r>
    </w:p>
    <w:p>
      <w:pPr>
        <w:spacing w:after="120"/>
      </w:pPr>
      <w:r>
        <w:rPr>
          <w:rFonts w:ascii="Times New Roman" w:hAnsi="Times New Roman"/>
          <w:b w:val="0"/>
          <w:i w:val="0"/>
          <w:sz w:val="20"/>
        </w:rPr>
        <w:t xml:space="preserve">We treat Firm A as a templated-end case study within the Big-4 sub-corpus rather than as the calibration anchor for the operational threshold. Firm A enters the Big-4 anchor-based ICCR calibration on equal footing with the other three Big-4 firms (§III-L). The cross-firm hit matrix of §III-L.4 strengthens this framing: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Firm A's per-document D2 inter-CPA proxy ICCR of </w:t>
      </w:r>
      <w:r>
        <w:rPr>
          <w:rFonts w:ascii="Times New Roman" w:hAnsi="Times New Roman"/>
          <w:b w:val="0"/>
          <w:i w:val="0"/>
          <w:sz w:val="20"/>
        </w:rPr>
        <w:t>0.6201</w:t>
      </w:r>
      <w:r>
        <w:rPr>
          <w:rFonts w:ascii="Times New Roman" w:hAnsi="Times New Roman"/>
          <w:b w:val="0"/>
          <w:i w:val="0"/>
          <w:sz w:val="20"/>
        </w:rPr>
        <w:t xml:space="preserve"> (versus Firms B/C/D's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 the counterfactual rate at which Firm A documents would fire HC</w:t>
      </w:r>
      <w:r>
        <w:rPr>
          <w:rFonts w:ascii="Times New Roman" w:hAnsi="Times New Roman"/>
          <w:b w:val="0"/>
          <w:i w:val="0"/>
          <w:sz w:val="20"/>
        </w:rPr>
        <w:t>+</w:t>
      </w:r>
      <w:r>
        <w:rPr>
          <w:rFonts w:ascii="Times New Roman" w:hAnsi="Times New Roman"/>
          <w:b w:val="0"/>
          <w:i w:val="0"/>
          <w:sz w:val="20"/>
        </w:rPr>
        <w:t xml:space="preserve">MC if same-CPA pools were replaced by random inter-CPA candidates — reflects high inter-CPA collision concentration under the deployed rule, consistent with firm-specific template, stamp, or document-production reuse. (The corresponding observed rate on real same-CPA pools, from Table XVI, is substantially higher: </w:t>
      </w:r>
      <w:r>
        <w:rPr>
          <w:rFonts w:ascii="Times New Roman" w:hAnsi="Times New Roman"/>
          <w:b w:val="0"/>
          <w:i w:val="0"/>
          <w:sz w:val="20"/>
        </w:rPr>
        <w:t>97.5%</w:t>
      </w:r>
      <w:r>
        <w:rPr>
          <w:rFonts w:ascii="Times New Roman" w:hAnsi="Times New Roman"/>
          <w:b w:val="0"/>
          <w:i w:val="0"/>
          <w:sz w:val="20"/>
        </w:rPr>
        <w:t xml:space="preserve"> HC</w:t>
      </w:r>
      <w:r>
        <w:rPr>
          <w:rFonts w:ascii="Times New Roman" w:hAnsi="Times New Roman"/>
          <w:b w:val="0"/>
          <w:i w:val="0"/>
          <w:sz w:val="20"/>
        </w:rPr>
        <w:t>+</w:t>
      </w:r>
      <w:r>
        <w:rPr>
          <w:rFonts w:ascii="Times New Roman" w:hAnsi="Times New Roman"/>
          <w:b w:val="0"/>
          <w:i w:val="0"/>
          <w:sz w:val="20"/>
        </w:rPr>
        <w:t xml:space="preserve">MC for Firm A; the proxy and observed rates measure different quantities and are not directly comparable.) The inter-CPA-anchor analysis alone is not diagnostic of deliberate template sharing. The byte-level evidence above (Firm A's 145 pixel-identical signatures across </w:t>
      </w:r>
      <w:r>
        <w:rPr>
          <w:rFonts w:ascii="Times New Roman" w:hAnsi="Times New Roman"/>
          <w:b w:val="0"/>
          <w:i w:val="0"/>
          <w:sz w:val="20"/>
        </w:rPr>
        <w:t>~ 50</w:t>
      </w:r>
      <w:r>
        <w:rPr>
          <w:rFonts w:ascii="Times New Roman" w:hAnsi="Times New Roman"/>
          <w:b w:val="0"/>
          <w:i w:val="0"/>
          <w:sz w:val="20"/>
        </w:rPr>
        <w:t xml:space="preserve"> distinct partners) provides direct evidence of image-level reuse among Firm A signatures; the distribution across many partners is consistent with a firm-level template or production workflow, and the within-firm collision pattern at all four Big-4 firms is consistent with similar, milder production-related reuse patterns at Firms B/C/D.</w:t>
      </w:r>
    </w:p>
    <w:p>
      <w:pPr>
        <w:pStyle w:val="Heading2"/>
      </w:pPr>
      <w:r>
        <w:rPr>
          <w:color w:val="000000"/>
        </w:rPr>
        <w:t>D. K=2 / K=3 as Descriptive Firm-Compositional Partitions</w:t>
      </w:r>
    </w:p>
    <w:p>
      <w:pPr>
        <w:spacing w:after="120"/>
      </w:pPr>
      <w:r>
        <w:rPr>
          <w:rFonts w:ascii="Times New Roman" w:hAnsi="Times New Roman"/>
          <w:b w:val="0"/>
          <w:i w:val="0"/>
          <w:sz w:val="20"/>
        </w:rPr>
        <w:t xml:space="preserve">Leave-one-firm-out cross-validation of the Big-4 mixture fit reveals a sharp contrast between K=2 and K=3 behaviour. K=2 is unstable: across-fold cosine-crossing deviation is </w:t>
      </w:r>
      <w:r>
        <w:rPr>
          <w:rFonts w:ascii="Times New Roman" w:hAnsi="Times New Roman"/>
          <w:b w:val="0"/>
          <w:i w:val="0"/>
          <w:sz w:val="20"/>
        </w:rPr>
        <w:t>0.028</w:t>
      </w:r>
      <w:r>
        <w:rPr>
          <w:rFonts w:ascii="Times New Roman" w:hAnsi="Times New Roman"/>
          <w:b w:val="0"/>
          <w:i w:val="0"/>
          <w:sz w:val="20"/>
        </w:rPr>
        <w:t xml:space="preserve">, and holding Firm A out gives a fold rule (cos </w:t>
      </w:r>
      <w:r>
        <w:rPr>
          <w:rFonts w:ascii="Times New Roman" w:hAnsi="Times New Roman"/>
          <w:b w:val="0"/>
          <w:i w:val="0"/>
          <w:sz w:val="20"/>
        </w:rPr>
        <w:t>&gt; 0.938</w:t>
      </w:r>
      <w:r>
        <w:rPr>
          <w:rFonts w:ascii="Times New Roman" w:hAnsi="Times New Roman"/>
          <w:b w:val="0"/>
          <w:i w:val="0"/>
          <w:sz w:val="20"/>
        </w:rPr>
        <w:t xml:space="preserve">, dHash </w:t>
      </w:r>
      <w:r>
        <w:rPr>
          <w:rFonts w:ascii="Times New Roman" w:hAnsi="Times New Roman"/>
          <w:b w:val="0"/>
          <w:i w:val="0"/>
          <w:sz w:val="20"/>
        </w:rPr>
        <w:t>≤ 8.79</w:t>
      </w:r>
      <w:r>
        <w:rPr>
          <w:rFonts w:ascii="Times New Roman" w:hAnsi="Times New Roman"/>
          <w:b w:val="0"/>
          <w:i w:val="0"/>
          <w:sz w:val="20"/>
        </w:rPr>
        <w:t xml:space="preserve">) that classifies </w:t>
      </w:r>
      <w:r>
        <w:rPr>
          <w:rFonts w:ascii="Times New Roman" w:hAnsi="Times New Roman"/>
          <w:b w:val="0"/>
          <w:i w:val="0"/>
          <w:sz w:val="20"/>
        </w:rPr>
        <w:t>100%</w:t>
      </w:r>
      <w:r>
        <w:rPr>
          <w:rFonts w:ascii="Times New Roman" w:hAnsi="Times New Roman"/>
          <w:b w:val="0"/>
          <w:i w:val="0"/>
          <w:sz w:val="20"/>
        </w:rPr>
        <w:t xml:space="preserve"> of held-out Firm A in the upper component, while holding any non-Firm-A Big-4 firm out gives a fold rule near (cos </w:t>
      </w:r>
      <w:r>
        <w:rPr>
          <w:rFonts w:ascii="Times New Roman" w:hAnsi="Times New Roman"/>
          <w:b w:val="0"/>
          <w:i w:val="0"/>
          <w:sz w:val="20"/>
        </w:rPr>
        <w:t>&gt; 0.975</w:t>
      </w:r>
      <w:r>
        <w:rPr>
          <w:rFonts w:ascii="Times New Roman" w:hAnsi="Times New Roman"/>
          <w:b w:val="0"/>
          <w:i w:val="0"/>
          <w:sz w:val="20"/>
        </w:rPr>
        <w:t xml:space="preserve">, dHash </w:t>
      </w:r>
      <w:r>
        <w:rPr>
          <w:rFonts w:ascii="Times New Roman" w:hAnsi="Times New Roman"/>
          <w:b w:val="0"/>
          <w:i w:val="0"/>
          <w:sz w:val="20"/>
        </w:rPr>
        <w:t>≤ 3.76</w:t>
      </w:r>
      <w:r>
        <w:rPr>
          <w:rFonts w:ascii="Times New Roman" w:hAnsi="Times New Roman"/>
          <w:b w:val="0"/>
          <w:i w:val="0"/>
          <w:sz w:val="20"/>
        </w:rPr>
        <w:t xml:space="preserve">) that classifies </w:t>
      </w:r>
      <w:r>
        <w:rPr>
          <w:rFonts w:ascii="Times New Roman" w:hAnsi="Times New Roman"/>
          <w:b w:val="0"/>
          <w:i w:val="0"/>
          <w:sz w:val="20"/>
        </w:rPr>
        <w:t>0%</w:t>
      </w:r>
      <w:r>
        <w:rPr>
          <w:rFonts w:ascii="Times New Roman" w:hAnsi="Times New Roman"/>
          <w:b w:val="0"/>
          <w:i w:val="0"/>
          <w:sz w:val="20"/>
        </w:rPr>
        <w:t xml:space="preserve"> of the held-out firm in the upper component. The K=2 boundary is essentially a Firm-A-vs-others separator — direct evidence that the K=2 partition reflects firm-compositional rather than mechanistic structure.</w:t>
      </w:r>
    </w:p>
    <w:p>
      <w:pPr>
        <w:spacing w:after="120"/>
      </w:pPr>
      <w:r>
        <w:rPr>
          <w:rFonts w:ascii="Times New Roman" w:hAnsi="Times New Roman"/>
          <w:b w:val="0"/>
          <w:i w:val="0"/>
          <w:sz w:val="20"/>
        </w:rPr>
        <w:t xml:space="preserve">K=3 in contrast has a reproducible component shape at the descriptor-position level: across the four folds the C1 (low-cos / high-dHash) component cosine mean varies by at most </w:t>
      </w:r>
      <w:r>
        <w:rPr>
          <w:rFonts w:ascii="Times New Roman" w:hAnsi="Times New Roman"/>
          <w:b w:val="0"/>
          <w:i w:val="0"/>
          <w:sz w:val="20"/>
        </w:rPr>
        <w:t>0.005</w:t>
      </w:r>
      <w:r>
        <w:rPr>
          <w:rFonts w:ascii="Times New Roman" w:hAnsi="Times New Roman"/>
          <w:b w:val="0"/>
          <w:i w:val="0"/>
          <w:sz w:val="20"/>
        </w:rPr>
        <w:t xml:space="preserve">, the dHash mean by at most </w:t>
      </w:r>
      <w:r>
        <w:rPr>
          <w:rFonts w:ascii="Times New Roman" w:hAnsi="Times New Roman"/>
          <w:b w:val="0"/>
          <w:i w:val="0"/>
          <w:sz w:val="20"/>
        </w:rPr>
        <w:t>0.96</w:t>
      </w:r>
      <w:r>
        <w:rPr>
          <w:rFonts w:ascii="Times New Roman" w:hAnsi="Times New Roman"/>
          <w:b w:val="0"/>
          <w:i w:val="0"/>
          <w:sz w:val="20"/>
        </w:rPr>
        <w:t xml:space="preserve">, and the weight by at most </w:t>
      </w:r>
      <w:r>
        <w:rPr>
          <w:rFonts w:ascii="Times New Roman" w:hAnsi="Times New Roman"/>
          <w:b w:val="0"/>
          <w:i w:val="0"/>
          <w:sz w:val="20"/>
        </w:rPr>
        <w:t>0.023</w:t>
      </w:r>
      <w:r>
        <w:rPr>
          <w:rFonts w:ascii="Times New Roman" w:hAnsi="Times New Roman"/>
          <w:b w:val="0"/>
          <w:i w:val="0"/>
          <w:sz w:val="20"/>
        </w:rPr>
        <w:t xml:space="preserve">. Hard-posterior membership for the held-out firm is composition-sensitive (absolute differences </w:t>
      </w:r>
      <w:r>
        <w:rPr>
          <w:rFonts w:ascii="Times New Roman" w:hAnsi="Times New Roman"/>
          <w:b w:val="0"/>
          <w:i w:val="0"/>
          <w:sz w:val="20"/>
        </w:rPr>
        <w:t>1.8</w:t>
      </w:r>
      <w:r>
        <w:rPr>
          <w:rFonts w:ascii="Times New Roman" w:hAnsi="Times New Roman"/>
          <w:b w:val="0"/>
          <w:i w:val="0"/>
          <w:sz w:val="20"/>
        </w:rPr>
        <w:t>–</w:t>
      </w:r>
      <w:r>
        <w:rPr>
          <w:rFonts w:ascii="Times New Roman" w:hAnsi="Times New Roman"/>
          <w:b w:val="0"/>
          <w:i w:val="0"/>
          <w:sz w:val="20"/>
        </w:rPr>
        <w:t>12.8</w:t>
      </w:r>
      <w:r>
        <w:rPr>
          <w:rFonts w:ascii="Times New Roman" w:hAnsi="Times New Roman"/>
          <w:b w:val="0"/>
          <w:i w:val="0"/>
          <w:sz w:val="20"/>
        </w:rPr>
        <w:t xml:space="preserve"> pp across folds). Together with the §III-I.4 composition decomposition (no within-population bimodal antimode), the K=3 stability supports a descriptive reading: the Big-4 descriptor plane has a reproducible three-region partition that reflects how firm-compositional weight is distributed across the descriptor space, not a three-mechanism latent-class structure. We accordingly do not use K=3 hard-posterior membership as an operational classifier; we use it as the accountant-level descriptive summary that complements the deployed signature-level five-way classifier of §III-H.1.</w:t>
      </w:r>
    </w:p>
    <w:p>
      <w:pPr>
        <w:pStyle w:val="Heading2"/>
      </w:pPr>
      <w:r>
        <w:rPr>
          <w:color w:val="000000"/>
        </w:rPr>
        <w:t>E. Three-Score Convergent Internal-Consistency</w:t>
      </w:r>
    </w:p>
    <w:p>
      <w:pPr>
        <w:spacing w:after="120"/>
      </w:pPr>
      <w:r>
        <w:rPr>
          <w:rFonts w:ascii="Times New Roman" w:hAnsi="Times New Roman"/>
          <w:b w:val="0"/>
          <w:i w:val="0"/>
          <w:sz w:val="20"/>
        </w:rPr>
        <w:t xml:space="preserve">Three feature-derived scores agree on the per-CPA descriptor-position ranking at Spearman </w:t>
      </w:r>
      <w:r>
        <w:rPr>
          <w:rFonts w:ascii="Times New Roman" w:hAnsi="Times New Roman"/>
          <w:b w:val="0"/>
          <w:i w:val="0"/>
          <w:sz w:val="20"/>
        </w:rPr>
        <w:t>ρ ≥ 0.879</w:t>
      </w:r>
      <w:r>
        <w:rPr>
          <w:rFonts w:ascii="Times New Roman" w:hAnsi="Times New Roman"/>
          <w:b w:val="0"/>
          <w:i w:val="0"/>
          <w:sz w:val="20"/>
        </w:rPr>
        <w:t xml:space="preserve">: the K=3 mixture posterior (a firm-compositional position score, not a mechanism cluster posterior); the reverse-anchor cosine percentile under a non-Big-4 reference distribution; and the deployed box-rule less-replication-dominated rate. The three scores are not statistically independent measurements — they are deterministic functions of the same per-CPA descriptor pair — so the convergence is documented as internal consistency rather than external validation against an independent ground truth (which the corpus does not provide for the hand-signed class). The strength of the convergence (all pairwise </w:t>
      </w:r>
      <w:r>
        <w:rPr>
          <w:rFonts w:ascii="Times New Roman" w:hAnsi="Times New Roman"/>
          <w:b w:val="0"/>
          <w:i w:val="0"/>
          <w:sz w:val="20"/>
        </w:rPr>
        <w:t>|ρ| &gt; 0.87</w:t>
      </w:r>
      <w:r>
        <w:rPr>
          <w:rFonts w:ascii="Times New Roman" w:hAnsi="Times New Roman"/>
          <w:b w:val="0"/>
          <w:i w:val="0"/>
          <w:sz w:val="20"/>
        </w:rPr>
        <w:t xml:space="preserve">) and its persistence at the signature level (Cohen </w:t>
      </w:r>
      <w:r>
        <w:rPr>
          <w:rFonts w:ascii="Times New Roman" w:hAnsi="Times New Roman"/>
          <w:b w:val="0"/>
          <w:i w:val="0"/>
          <w:sz w:val="20"/>
        </w:rPr>
        <w:t>κ = 0.87</w:t>
      </w:r>
      <w:r>
        <w:rPr>
          <w:rFonts w:ascii="Times New Roman" w:hAnsi="Times New Roman"/>
          <w:b w:val="0"/>
          <w:i w:val="0"/>
          <w:sz w:val="20"/>
        </w:rPr>
        <w:t xml:space="preserve"> between per-CPA-fit and per-signature-fit K=3 binary labels) are nevertheless informative: per-CPA aggregation does not collapse the broad three-region ordering, and three different summarisations of the descriptor space produce broadly concordant per-CPA rankings, with a residual non-Firm-A disagreement (the reverse-anchor cosine percentile ranks Firm D fractionally above Firm C, while the mixture posterior and the deployed box-rule rate rank Firm C highest among non-Firm-A firms).</w:t>
      </w:r>
    </w:p>
    <w:p>
      <w:pPr>
        <w:pStyle w:val="Heading2"/>
      </w:pPr>
      <w:r>
        <w:rPr>
          <w:color w:val="000000"/>
        </w:rPr>
        <w:t>F. Anchor-Based Multi-Level Calibration</w:t>
      </w:r>
    </w:p>
    <w:p>
      <w:pPr>
        <w:spacing w:after="120"/>
      </w:pPr>
      <w:r>
        <w:rPr>
          <w:rFonts w:ascii="Times New Roman" w:hAnsi="Times New Roman"/>
          <w:b w:val="0"/>
          <w:i w:val="0"/>
          <w:sz w:val="20"/>
        </w:rPr>
        <w:t>The operational specificity-proxy behaviour of the deployed five-way classifier is characterised at three units of analysis (§III-L), all against the same inter-CPA negative-anchor coincidence-rate proxy. The per-comparison ICCR is consistent with the corpus-wide rate reported in §IV-I (cos</w:t>
      </w:r>
      <w:r>
        <w:rPr>
          <w:rFonts w:ascii="Times New Roman" w:hAnsi="Times New Roman"/>
          <w:b w:val="0"/>
          <w:i w:val="0"/>
          <w:sz w:val="20"/>
        </w:rPr>
        <w:t>&gt;0.95 → 0.00060</w:t>
      </w:r>
      <w:r>
        <w:rPr>
          <w:rFonts w:ascii="Times New Roman" w:hAnsi="Times New Roman"/>
          <w:b w:val="0"/>
          <w:i w:val="0"/>
          <w:sz w:val="20"/>
        </w:rPr>
        <w:t>) and extends it to the structural dimension (dHash</w:t>
      </w:r>
      <w:r>
        <w:rPr>
          <w:rFonts w:ascii="Times New Roman" w:hAnsi="Times New Roman"/>
          <w:b w:val="0"/>
          <w:i w:val="0"/>
          <w:sz w:val="20"/>
        </w:rPr>
        <w:t>≤ 5 → 0.00129</w:t>
      </w:r>
      <w:r>
        <w:rPr>
          <w:rFonts w:ascii="Times New Roman" w:hAnsi="Times New Roman"/>
          <w:b w:val="0"/>
          <w:i w:val="0"/>
          <w:sz w:val="20"/>
        </w:rPr>
        <w:t xml:space="preserve">; joint </w:t>
      </w:r>
      <w:r>
        <w:rPr>
          <w:rFonts w:ascii="Times New Roman" w:hAnsi="Times New Roman"/>
          <w:b w:val="0"/>
          <w:i w:val="0"/>
          <w:sz w:val="20"/>
        </w:rPr>
        <w:t>→ 0.00014</w:t>
      </w:r>
      <w:r>
        <w:rPr>
          <w:rFonts w:ascii="Times New Roman" w:hAnsi="Times New Roman"/>
          <w:b w:val="0"/>
          <w:i w:val="0"/>
          <w:sz w:val="20"/>
        </w:rPr>
        <w:t>). The pool-normalised per-signature ICCR captures the deployed rule's effective per-signature rate under inter-CPA candidate-pool replacement (</w:t>
      </w:r>
      <w:r>
        <w:rPr>
          <w:rFonts w:ascii="Times New Roman" w:hAnsi="Times New Roman"/>
          <w:b w:val="0"/>
          <w:i w:val="0"/>
          <w:sz w:val="20"/>
        </w:rPr>
        <w:t>0.1102</w:t>
      </w:r>
      <w:r>
        <w:rPr>
          <w:rFonts w:ascii="Times New Roman" w:hAnsi="Times New Roman"/>
          <w:b w:val="0"/>
          <w:i w:val="0"/>
          <w:sz w:val="20"/>
        </w:rPr>
        <w:t xml:space="preserve"> pooled Big-4 any-pair HC), exposing that the per-comparison rate is not the deployed-rule rate at the per-signature classifier level: the deployed classifier takes max-cosine and min-dHash over a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so the inter-CPA-equivalent rate scales approximately as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in the independence limit. The per-document ICCR aggregates to operational alarm-rate units: HC alone </w:t>
      </w:r>
      <w:r>
        <w:rPr>
          <w:rFonts w:ascii="Times New Roman" w:hAnsi="Times New Roman"/>
          <w:b w:val="0"/>
          <w:i w:val="0"/>
          <w:sz w:val="20"/>
        </w:rPr>
        <w:t>0.18</w:t>
      </w:r>
      <w:r>
        <w:rPr>
          <w:rFonts w:ascii="Times New Roman" w:hAnsi="Times New Roman"/>
          <w:b w:val="0"/>
          <w:i w:val="0"/>
          <w:sz w:val="20"/>
        </w:rPr>
        <w:t>, the operational HC</w:t>
      </w:r>
      <w:r>
        <w:rPr>
          <w:rFonts w:ascii="Times New Roman" w:hAnsi="Times New Roman"/>
          <w:b w:val="0"/>
          <w:i w:val="0"/>
          <w:sz w:val="20"/>
        </w:rPr>
        <w:t>+</w:t>
      </w:r>
      <w:r>
        <w:rPr>
          <w:rFonts w:ascii="Times New Roman" w:hAnsi="Times New Roman"/>
          <w:b w:val="0"/>
          <w:i w:val="0"/>
          <w:sz w:val="20"/>
        </w:rPr>
        <w:t xml:space="preserve">MC alarm </w:t>
      </w:r>
      <w:r>
        <w:rPr>
          <w:rFonts w:ascii="Times New Roman" w:hAnsi="Times New Roman"/>
          <w:b w:val="0"/>
          <w:i w:val="0"/>
          <w:sz w:val="20"/>
        </w:rPr>
        <w:t>0.34</w:t>
      </w:r>
      <w:r>
        <w:rPr>
          <w:rFonts w:ascii="Times New Roman" w:hAnsi="Times New Roman"/>
          <w:b w:val="0"/>
          <w:i w:val="0"/>
          <w:sz w:val="20"/>
        </w:rPr>
        <w:t>.</w:t>
      </w:r>
    </w:p>
    <w:p>
      <w:pPr>
        <w:spacing w:after="120"/>
      </w:pPr>
      <w:r>
        <w:rPr>
          <w:rFonts w:ascii="Times New Roman" w:hAnsi="Times New Roman"/>
          <w:b w:val="0"/>
          <w:i w:val="0"/>
          <w:sz w:val="20"/>
        </w:rPr>
        <w:t>Two additional findings refine the calibration story. First, the per-pair conditional ICCR for dHash</w:t>
      </w:r>
      <w:r>
        <w:rPr>
          <w:rFonts w:ascii="Times New Roman" w:hAnsi="Times New Roman"/>
          <w:b w:val="0"/>
          <w:i w:val="0"/>
          <w:sz w:val="20"/>
        </w:rPr>
        <w:t>≤ 5</w:t>
      </w:r>
      <w:r>
        <w:rPr>
          <w:rFonts w:ascii="Times New Roman" w:hAnsi="Times New Roman"/>
          <w:b w:val="0"/>
          <w:i w:val="0"/>
          <w:sz w:val="20"/>
        </w:rPr>
        <w:t xml:space="preserve"> given cos</w:t>
      </w:r>
      <w:r>
        <w:rPr>
          <w:rFonts w:ascii="Times New Roman" w:hAnsi="Times New Roman"/>
          <w:b w:val="0"/>
          <w:i w:val="0"/>
          <w:sz w:val="20"/>
        </w:rPr>
        <w:t>&gt;0.95</w:t>
      </w:r>
      <w:r>
        <w:rPr>
          <w:rFonts w:ascii="Times New Roman" w:hAnsi="Times New Roman"/>
          <w:b w:val="0"/>
          <w:i w:val="0"/>
          <w:sz w:val="20"/>
        </w:rPr>
        <w:t xml:space="preserve"> is </w:t>
      </w:r>
      <w:r>
        <w:rPr>
          <w:rFonts w:ascii="Times New Roman" w:hAnsi="Times New Roman"/>
          <w:b w:val="0"/>
          <w:i w:val="0"/>
          <w:sz w:val="20"/>
        </w:rPr>
        <w:t>0.234</w:t>
      </w:r>
      <w:r>
        <w:rPr>
          <w:rFonts w:ascii="Times New Roman" w:hAnsi="Times New Roman"/>
          <w:b w:val="0"/>
          <w:i w:val="0"/>
          <w:sz w:val="20"/>
        </w:rPr>
        <w:t xml:space="preserve"> (Wilson 95% </w:t>
      </w:r>
      <w:r>
        <w:rPr>
          <w:rFonts w:ascii="Times New Roman" w:hAnsi="Times New Roman"/>
          <w:b w:val="0"/>
          <w:i w:val="0"/>
          <w:sz w:val="20"/>
        </w:rPr>
        <w:t>[0.190, 0.285]</w:t>
      </w:r>
      <w:r>
        <w:rPr>
          <w:rFonts w:ascii="Times New Roman" w:hAnsi="Times New Roman"/>
          <w:b w:val="0"/>
          <w:i w:val="0"/>
          <w:sz w:val="20"/>
        </w:rPr>
        <w:t xml:space="preserve">): given the cosine gate, the structural dimension provides further per-comparison specificity at </w:t>
      </w:r>
      <w:r>
        <w:rPr>
          <w:rFonts w:ascii="Times New Roman" w:hAnsi="Times New Roman"/>
          <w:b w:val="0"/>
          <w:i w:val="0"/>
          <w:sz w:val="20"/>
        </w:rPr>
        <w:t>~ 4.3×</w:t>
      </w:r>
      <w:r>
        <w:rPr>
          <w:rFonts w:ascii="Times New Roman" w:hAnsi="Times New Roman"/>
          <w:b w:val="0"/>
          <w:i w:val="0"/>
          <w:sz w:val="20"/>
        </w:rPr>
        <w:t xml:space="preserve"> refinement. Second, the alert-rate sensitivity analysis (§III-L.5) shows the deployed HC threshold is locally sensitive rather than plateau-stable (local gradient </w:t>
      </w:r>
      <w:r>
        <w:rPr>
          <w:rFonts w:ascii="Times New Roman" w:hAnsi="Times New Roman"/>
          <w:b w:val="0"/>
          <w:i w:val="0"/>
          <w:sz w:val="20"/>
        </w:rPr>
        <w:t>≈ 25×</w:t>
      </w:r>
      <w:r>
        <w:rPr>
          <w:rFonts w:ascii="Times New Roman" w:hAnsi="Times New Roman"/>
          <w:b w:val="0"/>
          <w:i w:val="0"/>
          <w:sz w:val="20"/>
        </w:rPr>
        <w:t xml:space="preserve"> the median for cosine, </w:t>
      </w:r>
      <w:r>
        <w:rPr>
          <w:rFonts w:ascii="Times New Roman" w:hAnsi="Times New Roman"/>
          <w:b w:val="0"/>
          <w:i w:val="0"/>
          <w:sz w:val="20"/>
        </w:rPr>
        <w:t>≈ 3.8×</w:t>
      </w:r>
      <w:r>
        <w:rPr>
          <w:rFonts w:ascii="Times New Roman" w:hAnsi="Times New Roman"/>
          <w:b w:val="0"/>
          <w:i w:val="0"/>
          <w:sz w:val="20"/>
        </w:rPr>
        <w:t xml:space="preserve"> for dHash); alternative operating points can be characterised by inverting the ICCR curves (e.g., a tighter rule cos</w:t>
      </w:r>
      <w:r>
        <w:rPr>
          <w:rFonts w:ascii="Times New Roman" w:hAnsi="Times New Roman"/>
          <w:b w:val="0"/>
          <w:i w:val="0"/>
          <w:sz w:val="20"/>
        </w:rPr>
        <w:t>&gt;0.95</w:t>
      </w:r>
      <w:r>
        <w:rPr>
          <w:rFonts w:ascii="Times New Roman" w:hAnsi="Times New Roman"/>
          <w:b w:val="0"/>
          <w:i w:val="0"/>
          <w:sz w:val="20"/>
        </w:rPr>
        <w:t xml:space="preserve"> AND dHash</w:t>
      </w:r>
      <w:r>
        <w:rPr>
          <w:rFonts w:ascii="Times New Roman" w:hAnsi="Times New Roman"/>
          <w:b w:val="0"/>
          <w:i w:val="0"/>
          <w:sz w:val="20"/>
        </w:rPr>
        <w:t>≤ 3</w:t>
      </w:r>
      <w:r>
        <w:rPr>
          <w:rFonts w:ascii="Times New Roman" w:hAnsi="Times New Roman"/>
          <w:b w:val="0"/>
          <w:i w:val="0"/>
          <w:sz w:val="20"/>
        </w:rPr>
        <w:t xml:space="preserve"> on the same-pair joint corresponds to per-signature ICCR </w:t>
      </w:r>
      <w:r>
        <w:rPr>
          <w:rFonts w:ascii="Times New Roman" w:hAnsi="Times New Roman"/>
          <w:b w:val="0"/>
          <w:i w:val="0"/>
          <w:sz w:val="20"/>
        </w:rPr>
        <w:t>≈ 0.045</w:t>
      </w:r>
      <w:r>
        <w:rPr>
          <w:rFonts w:ascii="Times New Roman" w:hAnsi="Times New Roman"/>
          <w:b w:val="0"/>
          <w:i w:val="0"/>
          <w:sz w:val="20"/>
        </w:rPr>
        <w:t>). The MC/HSC sub-band boundary at dHash</w:t>
      </w:r>
      <w:r>
        <w:rPr>
          <w:rFonts w:ascii="Times New Roman" w:hAnsi="Times New Roman"/>
          <w:b w:val="0"/>
          <w:i w:val="0"/>
          <w:sz w:val="20"/>
        </w:rPr>
        <w:t>=15</w:t>
      </w:r>
      <w:r>
        <w:rPr>
          <w:rFonts w:ascii="Times New Roman" w:hAnsi="Times New Roman"/>
          <w:b w:val="0"/>
          <w:i w:val="0"/>
          <w:sz w:val="20"/>
        </w:rPr>
        <w:t xml:space="preserve">, by contrast, is plateau-like (local-to-median ratio </w:t>
      </w:r>
      <w:r>
        <w:rPr>
          <w:rFonts w:ascii="Times New Roman" w:hAnsi="Times New Roman"/>
          <w:b w:val="0"/>
          <w:i w:val="0"/>
          <w:sz w:val="20"/>
        </w:rPr>
        <w:t>≈ 0.08</w:t>
      </w:r>
      <w:r>
        <w:rPr>
          <w:rFonts w:ascii="Times New Roman" w:hAnsi="Times New Roman"/>
          <w:b w:val="0"/>
          <w:i w:val="0"/>
          <w:sz w:val="20"/>
        </w:rPr>
        <w:t>), consistent with high-dHash-tail saturation.</w:t>
      </w:r>
    </w:p>
    <w:p>
      <w:pPr>
        <w:pStyle w:val="Heading2"/>
      </w:pPr>
      <w:r>
        <w:rPr>
          <w:color w:val="000000"/>
        </w:rPr>
        <w:t>G. Pixel-Identity Positive Anchor and Inter-CPA Coincidence-Rate Negative Anchor</w:t>
      </w:r>
    </w:p>
    <w:p>
      <w:pPr>
        <w:spacing w:after="120"/>
      </w:pPr>
      <w:r>
        <w:rPr>
          <w:rFonts w:ascii="Times New Roman" w:hAnsi="Times New Roman"/>
          <w:b w:val="0"/>
          <w:i w:val="0"/>
          <w:sz w:val="20"/>
        </w:rPr>
        <w:t>The only conservative hard-positive subset in the corpus is pixel-identical signatures: those whose nearest same-CPA match is byte-identical after crop and normalisation. Independent hand-signing cannot produce byte-identical images, so these signatures are a conservative hard-positive subset for image replication. On the Big-4 subset (</w:t>
      </w:r>
      <w:r>
        <w:rPr>
          <w:rFonts w:ascii="Times New Roman" w:hAnsi="Times New Roman"/>
          <w:b w:val="0"/>
          <w:i w:val="0"/>
          <w:sz w:val="20"/>
        </w:rPr>
        <w:t>n = 262</w:t>
      </w:r>
      <w:r>
        <w:rPr>
          <w:rFonts w:ascii="Times New Roman" w:hAnsi="Times New Roman"/>
          <w:b w:val="0"/>
          <w:i w:val="0"/>
          <w:sz w:val="20"/>
        </w:rPr>
        <w:t xml:space="preserve"> pixel-identical signatures), all three candidate checks — the deployed box rule, the K=3 hard label, and the reverse-anchor metric with a prevalence-calibrated cut —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xml:space="preserve">). We caution that this result is necessary but not sufficient: for the deployed box rule it is close to tautological, because byte-identical neighbours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well inside the rule's high-confidence region. The corresponding signature-level negative anchor evidence is developed in §III-L.1 above (per-comparison ICCR </w:t>
      </w:r>
      <w:r>
        <w:rPr>
          <w:rFonts w:ascii="Times New Roman" w:hAnsi="Times New Roman"/>
          <w:b w:val="0"/>
          <w:i w:val="0"/>
          <w:sz w:val="20"/>
        </w:rPr>
        <w:t>= 0.00060</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consistent with the corpus-wide rate of </w:t>
      </w:r>
      <w:r>
        <w:rPr>
          <w:rFonts w:ascii="Times New Roman" w:hAnsi="Times New Roman"/>
          <w:b w:val="0"/>
          <w:i w:val="0"/>
          <w:sz w:val="20"/>
        </w:rPr>
        <w:t>0.0005</w:t>
      </w:r>
      <w:r>
        <w:rPr>
          <w:rFonts w:ascii="Times New Roman" w:hAnsi="Times New Roman"/>
          <w:b w:val="0"/>
          <w:i w:val="0"/>
          <w:sz w:val="20"/>
        </w:rPr>
        <w:t xml:space="preserve"> reported in §IV-I). We frame the per-comparison rate as a specificity proxy under the assumption that inter-CPA pairs constitute a clean negative anchor, and we document in §III-L.4 that this assumption is partially violated by within-firm cross-CPA template-like collision structures.</w:t>
      </w:r>
    </w:p>
    <w:p>
      <w:pPr>
        <w:pStyle w:val="Heading2"/>
      </w:pPr>
      <w:r>
        <w:rPr>
          <w:color w:val="000000"/>
        </w:rPr>
        <w:t>H. Limitations</w:t>
      </w:r>
    </w:p>
    <w:p>
      <w:pPr>
        <w:spacing w:after="120"/>
      </w:pPr>
      <w:r>
        <w:rPr>
          <w:rFonts w:ascii="Times New Roman" w:hAnsi="Times New Roman"/>
          <w:b w:val="0"/>
          <w:i w:val="0"/>
          <w:sz w:val="20"/>
        </w:rPr>
        <w:t>Several limitations should be transparent. We group them into primary methodological limitations, secondary scope and validation caveats, documented design features, and engineering-level caveats of the pipeline.</w:t>
      </w:r>
    </w:p>
    <w:p>
      <w:pPr>
        <w:spacing w:after="120"/>
      </w:pPr>
      <w:r>
        <w:rPr>
          <w:rFonts w:ascii="Times New Roman" w:hAnsi="Times New Roman"/>
          <w:b w:val="0"/>
          <w:i w:val="0"/>
          <w:sz w:val="20"/>
        </w:rPr>
        <w:t>Primary methodological limitations.</w:t>
      </w:r>
    </w:p>
    <w:p>
      <w:pPr>
        <w:spacing w:after="120"/>
      </w:pPr>
      <w:r>
        <w:rPr>
          <w:rFonts w:ascii="Times New Roman" w:hAnsi="Times New Roman"/>
          <w:b w:val="0"/>
          <w:i w:val="0"/>
          <w:sz w:val="20"/>
        </w:rPr>
        <w:t>No signature-level ground truth; no true error rates reportable. The corpus does not contain labelled hand-signed or replicated classes at the signature level. We therefore cannot report False Rejection Rate, sensitivity, recall, Equal Error Rate, ROC-AUC, precision, or positive predictive value against ground truth. All quantitative rates reported in §III-L are inter-CPA negative-anchor coincidence rates (ICCRs) under the assumption that inter-CPA pairs constitute a clean negative anchor; this is a specificity proxy, not a calibrated specificity (§III-M).</w:t>
      </w:r>
    </w:p>
    <w:p>
      <w:pPr>
        <w:spacing w:after="120"/>
      </w:pPr>
      <w:r>
        <w:rPr>
          <w:rFonts w:ascii="Times New Roman" w:hAnsi="Times New Roman"/>
          <w:b w:val="0"/>
          <w:i w:val="0"/>
          <w:sz w:val="20"/>
        </w:rPr>
        <w:t xml:space="preserve">Inter-CPA negative-anchor assumption is partially violated and the violation is firm-dependent. The cross-firm hit matrix of §III-L.4 shows that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consistent with firm-specific template, stamp, or document-production reuse. The inter-CPA-as-negative assumption is therefore not exactly satisfied — some inter-CPA pairs may share firm-level templates rather than being independent random matches. Our reported per-comparison ICCRs are best read as specificity-proxy rates under a partially-violated assumption, not as calibrated FARs. Because the violation is firm-dependent, Firm A's per-firm ICCR is more contaminated by within-firm sharing than Firms B/C/D's; the per-firm B/C/D rates of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may therefore be less contaminated than the pooled rate, and the Firm A vs Firms B/C/D contrast reflects both genuine firm heterogeneity and a firm-dependent proxy-contamination gradient.</w:t>
      </w:r>
    </w:p>
    <w:p>
      <w:pPr>
        <w:spacing w:after="120"/>
      </w:pPr>
      <w:r>
        <w:rPr>
          <w:rFonts w:ascii="Times New Roman" w:hAnsi="Times New Roman"/>
          <w:b w:val="0"/>
          <w:i w:val="0"/>
          <w:sz w:val="20"/>
        </w:rPr>
        <w:t>Mechanism attribution for the firm-level heterogeneity is not identifiable from descriptor-only data. The observed firm-level contrast (Firm A's per-document HC</w:t>
      </w:r>
      <w:r>
        <w:rPr>
          <w:rFonts w:ascii="Times New Roman" w:hAnsi="Times New Roman"/>
          <w:b w:val="0"/>
          <w:i w:val="0"/>
          <w:sz w:val="20"/>
        </w:rPr>
        <w:t>+</w:t>
      </w:r>
      <w:r>
        <w:rPr>
          <w:rFonts w:ascii="Times New Roman" w:hAnsi="Times New Roman"/>
          <w:b w:val="0"/>
          <w:i w:val="0"/>
          <w:sz w:val="20"/>
        </w:rPr>
        <w:t xml:space="preserve">MC ICCR of </w:t>
      </w:r>
      <w:r>
        <w:rPr>
          <w:rFonts w:ascii="Times New Roman" w:hAnsi="Times New Roman"/>
          <w:b w:val="0"/>
          <w:i w:val="0"/>
          <w:sz w:val="20"/>
        </w:rPr>
        <w:t>0.62</w:t>
      </w:r>
      <w:r>
        <w:rPr>
          <w:rFonts w:ascii="Times New Roman" w:hAnsi="Times New Roman"/>
          <w:b w:val="0"/>
          <w:i w:val="0"/>
          <w:sz w:val="20"/>
        </w:rPr>
        <w:t xml:space="preserve"> versus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at Firms B/C/D; within-firm collision concentration </w:t>
      </w:r>
      <w:r>
        <w:rPr>
          <w:rFonts w:ascii="Times New Roman" w:hAnsi="Times New Roman"/>
          <w:b w:val="0"/>
          <w:i w:val="0"/>
          <w:sz w:val="20"/>
        </w:rPr>
        <w:t>77</w:t>
      </w:r>
      <w:r>
        <w:rPr>
          <w:rFonts w:ascii="Times New Roman" w:hAnsi="Times New Roman"/>
          <w:b w:val="0"/>
          <w:i w:val="0"/>
          <w:sz w:val="20"/>
        </w:rPr>
        <w:t>–</w:t>
      </w:r>
      <w:r>
        <w:rPr>
          <w:rFonts w:ascii="Times New Roman" w:hAnsi="Times New Roman"/>
          <w:b w:val="0"/>
          <w:i w:val="0"/>
          <w:sz w:val="20"/>
        </w:rPr>
        <w:t>99%</w:t>
      </w:r>
      <w:r>
        <w:rPr>
          <w:rFonts w:ascii="Times New Roman" w:hAnsi="Times New Roman"/>
          <w:b w:val="0"/>
          <w:i w:val="0"/>
          <w:sz w:val="20"/>
        </w:rPr>
        <w:t xml:space="preserve"> under the deployed any-pair rule; byte-identical evidence of §IV-H) is consistent with at least three non-mutually-exclusive firm-level mechanisms: (i) template, stamp, or e-signature production reuse; (ii) digitisation-pipeline homogeneity — shared scanners, common PDF generation infrastructure, identical compression and form-template settings — that systematically inflates image-descriptor similarity without signature replication; and (iii) signing-style or training homogeneity that produces correlated handwritten signatures within a firm. The descriptor pair (cosine, dHash) operates at the image-similarity level and is, by construction, indifferent to which mechanism generated a given near-identical pair. We therefore report the firm contrast as a methodological observation — the framework discriminates at firm-level resolution — rather than as a mechanism finding. The byte-identical Firm A signatures across </w:t>
      </w:r>
      <w:r>
        <w:rPr>
          <w:rFonts w:ascii="Times New Roman" w:hAnsi="Times New Roman"/>
          <w:b w:val="0"/>
          <w:i w:val="0"/>
          <w:sz w:val="20"/>
        </w:rPr>
        <w:t>~ 50</w:t>
      </w:r>
      <w:r>
        <w:rPr>
          <w:rFonts w:ascii="Times New Roman" w:hAnsi="Times New Roman"/>
          <w:b w:val="0"/>
          <w:i w:val="0"/>
          <w:sz w:val="20"/>
        </w:rPr>
        <w:t xml:space="preserve"> distinct partners (§IV-H, §V-C) provide direct evidence for (i) at Firm A specifically, but do not exclude additive contribution from (ii) or (iii); the milder within-firm collision patterns at Firms B/C/D are individually consistent with all three mechanisms. Image-acquisition metadata (scanner identifiers, PDF generator fingerprints, compression-codec markers), partner-level intent records, or controlled hand-signed baselines would be needed to attribute the contrast across (i), (ii), and (iii).</w:t>
      </w:r>
    </w:p>
    <w:p>
      <w:pPr>
        <w:spacing w:after="120"/>
      </w:pPr>
      <w:r>
        <w:rPr>
          <w:rFonts w:ascii="Times New Roman" w:hAnsi="Times New Roman"/>
          <w:b w:val="0"/>
          <w:i w:val="0"/>
          <w:sz w:val="20"/>
        </w:rPr>
        <w:t xml:space="preserve">Scope. The primary analyses are scoped to the Big-4 sub-corpus. We did not perform the full per-signature pool-normalised ICCR analysis at the full </w:t>
      </w:r>
      <w:r>
        <w:rPr>
          <w:rFonts w:ascii="Times New Roman" w:hAnsi="Times New Roman"/>
          <w:b w:val="0"/>
          <w:i w:val="0"/>
          <w:sz w:val="20"/>
        </w:rPr>
        <w:t>n = 686</w:t>
      </w:r>
      <w:r>
        <w:rPr>
          <w:rFonts w:ascii="Times New Roman" w:hAnsi="Times New Roman"/>
          <w:b w:val="0"/>
          <w:i w:val="0"/>
          <w:sz w:val="20"/>
        </w:rPr>
        <w:t xml:space="preserve"> scope; the §IV-K full-dataset Spearman re-run shows the K=3 </w:t>
      </w:r>
      <w:r>
        <w:rPr>
          <w:rFonts w:ascii="Times New Roman" w:hAnsi="Times New Roman"/>
          <w:b w:val="0"/>
          <w:i w:val="0"/>
          <w:sz w:val="20"/>
        </w:rPr>
        <w:t>+</w:t>
      </w:r>
      <w:r>
        <w:rPr>
          <w:rFonts w:ascii="Times New Roman" w:hAnsi="Times New Roman"/>
          <w:b w:val="0"/>
          <w:i w:val="0"/>
          <w:sz w:val="20"/>
        </w:rPr>
        <w:t xml:space="preserve"> deployed box-rule rank-convergence is preserved at </w:t>
      </w:r>
      <w:r>
        <w:rPr>
          <w:rFonts w:ascii="Times New Roman" w:hAnsi="Times New Roman"/>
          <w:b w:val="0"/>
          <w:i w:val="0"/>
          <w:sz w:val="20"/>
        </w:rPr>
        <w:t>n = 686</w:t>
      </w:r>
      <w:r>
        <w:rPr>
          <w:rFonts w:ascii="Times New Roman" w:hAnsi="Times New Roman"/>
          <w:b w:val="0"/>
          <w:i w:val="0"/>
          <w:sz w:val="20"/>
        </w:rPr>
        <w:t xml:space="preserve"> but does not establish portability of the Big-4 operational ICCRs, the LOOO firm-fold structure, or the five-way operational classifier at the broader scope.</w:t>
      </w:r>
    </w:p>
    <w:p>
      <w:pPr>
        <w:spacing w:after="120"/>
      </w:pPr>
      <w:r>
        <w:rPr>
          <w:rFonts w:ascii="Times New Roman" w:hAnsi="Times New Roman"/>
          <w:b w:val="0"/>
          <w:i w:val="0"/>
          <w:sz w:val="20"/>
        </w:rPr>
        <w:t>Secondary scope and validation caveats.</w:t>
      </w:r>
    </w:p>
    <w:p>
      <w:pPr>
        <w:spacing w:after="120"/>
      </w:pPr>
      <w:r>
        <w:rPr>
          <w:rFonts w:ascii="Times New Roman" w:hAnsi="Times New Roman"/>
          <w:b w:val="0"/>
          <w:i w:val="0"/>
          <w:sz w:val="20"/>
        </w:rPr>
        <w:t xml:space="preserve">Pixel-identity is a conservative subset. Byte-identical pairs are the easiest replicated cases, and for the deployed box rule the positive-anchor miss rate against byte-identical pairs is close to tautological (byte-identical </w:t>
      </w:r>
      <w:r>
        <w:rPr>
          <w:rFonts w:ascii="Times New Roman" w:hAnsi="Times New Roman"/>
          <w:b w:val="0"/>
          <w:i w:val="0"/>
          <w:sz w:val="20"/>
        </w:rPr>
        <w:t>⇒</w:t>
      </w:r>
      <w:r>
        <w:rPr>
          <w:rFonts w:ascii="Times New Roman" w:hAnsi="Times New Roman"/>
          <w:b w:val="0"/>
          <w:i w:val="0"/>
          <w:sz w:val="20"/>
        </w:rPr>
        <w:t xml:space="preserve"> cosine </w:t>
      </w:r>
      <w:r>
        <w:rPr>
          <w:rFonts w:ascii="Times New Roman" w:hAnsi="Times New Roman"/>
          <w:b w:val="0"/>
          <w:i w:val="0"/>
          <w:sz w:val="20"/>
        </w:rPr>
        <w:t>≈ 1</w:t>
      </w:r>
      <w:r>
        <w:rPr>
          <w:rFonts w:ascii="Times New Roman" w:hAnsi="Times New Roman"/>
          <w:b w:val="0"/>
          <w:i w:val="0"/>
          <w:sz w:val="20"/>
        </w:rPr>
        <w:t xml:space="preserve">, dHash </w:t>
      </w:r>
      <w:r>
        <w:rPr>
          <w:rFonts w:ascii="Times New Roman" w:hAnsi="Times New Roman"/>
          <w:b w:val="0"/>
          <w:i w:val="0"/>
          <w:sz w:val="20"/>
        </w:rPr>
        <w:t>≈ 0</w:t>
      </w:r>
      <w:r>
        <w:rPr>
          <w:rFonts w:ascii="Times New Roman" w:hAnsi="Times New Roman"/>
          <w:b w:val="0"/>
          <w:i w:val="0"/>
          <w:sz w:val="20"/>
        </w:rPr>
        <w:t>, well inside the high-confidence box). A score that fails the pixel-identity check would be disqualified, but passing the check does not guarantee correct behaviour on the broader replicated population (e.g., re-stamped or noisy-template-variant signatures).</w:t>
      </w:r>
    </w:p>
    <w:p>
      <w:pPr>
        <w:spacing w:after="120"/>
      </w:pPr>
      <w:r>
        <w:rPr>
          <w:rFonts w:ascii="Times New Roman" w:hAnsi="Times New Roman"/>
          <w:b w:val="0"/>
          <w:i w:val="0"/>
          <w:sz w:val="20"/>
        </w:rPr>
        <w:t xml:space="preserve">Rule components not separately re-characterised by the present diagnostic battery. The five-way classifier's moderate-confidence band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the style-consistency band (</w:t>
      </w:r>
      <w:r>
        <w:rPr>
          <w:rFonts w:ascii="Times New Roman" w:hAnsi="Times New Roman"/>
          <w:b w:val="0"/>
          <w:i w:val="0"/>
          <w:sz w:val="20"/>
        </w:rPr>
        <w:t>dHash &gt; 15</w:t>
      </w:r>
      <w:r>
        <w:rPr>
          <w:rFonts w:ascii="Times New Roman" w:hAnsi="Times New Roman"/>
          <w:b w:val="0"/>
          <w:i w:val="0"/>
          <w:sz w:val="20"/>
        </w:rPr>
        <w:t>), and the document-level worst-case aggregation rule retain their prior calibration and capture-rate evidence (supplementary materials); the anchor-based ICCR calibration covers the binary high-confidence sub-rule (and its tightening alternatives such as dHash</w:t>
      </w:r>
      <w:r>
        <w:rPr>
          <w:rFonts w:ascii="Times New Roman" w:hAnsi="Times New Roman"/>
          <w:b w:val="0"/>
          <w:i w:val="0"/>
          <w:sz w:val="20"/>
        </w:rPr>
        <w:t>≤ 3</w:t>
      </w:r>
      <w:r>
        <w:rPr>
          <w:rFonts w:ascii="Times New Roman" w:hAnsi="Times New Roman"/>
          <w:b w:val="0"/>
          <w:i w:val="0"/>
          <w:sz w:val="20"/>
        </w:rPr>
        <w:t>), and the alert-rate sensitivity analysis (§III-L.5) characterises only the HC threshold. The MC and HSC sub-band boundaries are not separately re-characterised by the present diagnostic battery.</w:t>
      </w:r>
    </w:p>
    <w:p>
      <w:pPr>
        <w:spacing w:after="120"/>
      </w:pPr>
      <w:r>
        <w:rPr>
          <w:rFonts w:ascii="Times New Roman" w:hAnsi="Times New Roman"/>
          <w:b w:val="0"/>
          <w:i w:val="0"/>
          <w:sz w:val="20"/>
        </w:rPr>
        <w:t xml:space="preserve">Deployed-rate excess is not a presumed true-positive rate. The </w:t>
      </w:r>
      <w:r>
        <w:rPr>
          <w:rFonts w:ascii="Times New Roman" w:hAnsi="Times New Roman"/>
          <w:b w:val="0"/>
          <w:i w:val="0"/>
          <w:sz w:val="20"/>
        </w:rPr>
        <w:t>~ 44</w:t>
      </w:r>
      <w:r>
        <w:rPr>
          <w:rFonts w:ascii="Times New Roman" w:hAnsi="Times New Roman"/>
          <w:b w:val="0"/>
          <w:i w:val="0"/>
          <w:sz w:val="20"/>
        </w:rPr>
        <w:t xml:space="preserve">-pp per-document gap between the observed deployed alert rate (HC: </w:t>
      </w:r>
      <w:r>
        <w:rPr>
          <w:rFonts w:ascii="Times New Roman" w:hAnsi="Times New Roman"/>
          <w:b w:val="0"/>
          <w:i w:val="0"/>
          <w:sz w:val="20"/>
        </w:rPr>
        <w:t>0.62</w:t>
      </w:r>
      <w:r>
        <w:rPr>
          <w:rFonts w:ascii="Times New Roman" w:hAnsi="Times New Roman"/>
          <w:b w:val="0"/>
          <w:i w:val="0"/>
          <w:sz w:val="20"/>
        </w:rPr>
        <w:t xml:space="preserve"> on real same-CPA pools) and the inter-CPA proxy rate (HC: </w:t>
      </w:r>
      <w:r>
        <w:rPr>
          <w:rFonts w:ascii="Times New Roman" w:hAnsi="Times New Roman"/>
          <w:b w:val="0"/>
          <w:i w:val="0"/>
          <w:sz w:val="20"/>
        </w:rPr>
        <w:t>0.18</w:t>
      </w:r>
      <w:r>
        <w:rPr>
          <w:rFonts w:ascii="Times New Roman" w:hAnsi="Times New Roman"/>
          <w:b w:val="0"/>
          <w:i w:val="0"/>
          <w:sz w:val="20"/>
        </w:rPr>
        <w:t>) cannot be interpreted as a presumed true-positive rate without additional assumptions that §III-M shows are unsafe (consistent within-CPA signing can exceed inter-CPA similarity at the cosine axis; within-firm template sharing inflates the inter-CPA proxy baseline). The gap is best read as a same-CPA repeatability signal.</w:t>
      </w:r>
    </w:p>
    <w:p>
      <w:pPr>
        <w:spacing w:after="120"/>
      </w:pPr>
      <w:r>
        <w:rPr>
          <w:rFonts w:ascii="Times New Roman" w:hAnsi="Times New Roman"/>
          <w:b w:val="0"/>
          <w:i w:val="0"/>
          <w:sz w:val="20"/>
        </w:rPr>
        <w:t>A1 pair-detectability stipulation. The per-signature detector requires at least one same-CPA pair to be near-identical when a CPA uses image replication. A1 is plausible for high-volume stamping or firm-level electronic signing but not guaranteed when a corpus contains only one observed replicated report for a CPA, multiple template variants used in parallel, or scan-stage noise that pushes a replicated pair outside the detection regime.</w:t>
      </w:r>
    </w:p>
    <w:p>
      <w:pPr>
        <w:spacing w:after="120"/>
      </w:pPr>
      <w:r>
        <w:rPr>
          <w:rFonts w:ascii="Times New Roman" w:hAnsi="Times New Roman"/>
          <w:b w:val="0"/>
          <w:i w:val="0"/>
          <w:sz w:val="20"/>
        </w:rPr>
        <w:t>Documented design features.</w:t>
      </w:r>
    </w:p>
    <w:p>
      <w:pPr>
        <w:spacing w:after="120"/>
      </w:pPr>
      <w:r>
        <w:rPr>
          <w:rFonts w:ascii="Times New Roman" w:hAnsi="Times New Roman"/>
          <w:b w:val="0"/>
          <w:i w:val="0"/>
          <w:sz w:val="20"/>
        </w:rPr>
        <w:t xml:space="preserve">K=3 hard-posterior membership is composition-sensitive. The K=3 hard-posterior membership for any single firm varies by up to </w:t>
      </w:r>
      <w:r>
        <w:rPr>
          <w:rFonts w:ascii="Times New Roman" w:hAnsi="Times New Roman"/>
          <w:b w:val="0"/>
          <w:i w:val="0"/>
          <w:sz w:val="20"/>
        </w:rPr>
        <w:t>12.8</w:t>
      </w:r>
      <w:r>
        <w:rPr>
          <w:rFonts w:ascii="Times New Roman" w:hAnsi="Times New Roman"/>
          <w:b w:val="0"/>
          <w:i w:val="0"/>
          <w:sz w:val="20"/>
        </w:rPr>
        <w:t xml:space="preserve"> pp across LOOO folds. This is documented as a composition-sensitivity band rather than failure, but it means K=3 hard labels are not used as operational classifier output; they are reported only as accountant-level descriptive characterisation.</w:t>
      </w:r>
    </w:p>
    <w:p>
      <w:pPr>
        <w:spacing w:after="120"/>
      </w:pPr>
      <w:r>
        <w:rPr>
          <w:rFonts w:ascii="Times New Roman" w:hAnsi="Times New Roman"/>
          <w:b w:val="0"/>
          <w:i w:val="0"/>
          <w:sz w:val="20"/>
        </w:rPr>
        <w:t>No partner-level mechanism attribution. The analysis reports population-level patterns; it does not perform partner-level mechanism attribution or report-level claims of intent. The signature-level outputs are signature-level quantities throughout. The within-firm cross-CPA collision concentration of §III-L.4 is consistent with template-like reuse but is not by itself diagnostic of deliberate sharing.</w:t>
      </w:r>
    </w:p>
    <w:p>
      <w:pPr>
        <w:spacing w:after="120"/>
      </w:pPr>
      <w:r>
        <w:rPr>
          <w:rFonts w:ascii="Times New Roman" w:hAnsi="Times New Roman"/>
          <w:b w:val="0"/>
          <w:i w:val="0"/>
          <w:sz w:val="20"/>
        </w:rPr>
        <w:t>Engineering-level caveats of the pipeline.</w:t>
      </w:r>
    </w:p>
    <w:p>
      <w:pPr>
        <w:spacing w:after="120"/>
      </w:pPr>
      <w:r>
        <w:rPr>
          <w:rFonts w:ascii="Times New Roman" w:hAnsi="Times New Roman"/>
          <w:b w:val="0"/>
          <w:i w:val="0"/>
          <w:sz w:val="20"/>
        </w:rPr>
        <w:t>Transferred ImageNet features. The ResNet-50 feature extractor uses pre-trained ImageNet weights without signature-domain fine-tuning. While our backbone-ablation study (§IV-L) and prior literature support the effectiveness of transferred ImageNet features for signature comparison, a signature-domain fine-tuned feature extractor could improve discriminative performance.</w:t>
      </w:r>
    </w:p>
    <w:p>
      <w:pPr>
        <w:spacing w:after="120"/>
      </w:pPr>
      <w:r>
        <w:rPr>
          <w:rFonts w:ascii="Times New Roman" w:hAnsi="Times New Roman"/>
          <w:b w:val="0"/>
          <w:i w:val="0"/>
          <w:sz w:val="20"/>
        </w:rPr>
        <w:t>Red-stamp HSV preprocessing artifacts. The red stamp removal preprocessing uses simple HSV color-space filtering, which may introduce artifacts where handwritten strokes overlap with red seal impressions. Blended pixels are replaced with white, potentially creating small gaps in signature strokes that could reduce dHash similarity. This bias would push classifications toward false negatives rather than false positives.</w:t>
      </w:r>
    </w:p>
    <w:p>
      <w:pPr>
        <w:spacing w:after="120"/>
      </w:pPr>
      <w:r>
        <w:rPr>
          <w:rFonts w:ascii="Times New Roman" w:hAnsi="Times New Roman"/>
          <w:b w:val="0"/>
          <w:i w:val="0"/>
          <w:sz w:val="20"/>
        </w:rPr>
        <w:t>Longitudinal scan / PDF / compression confounds. Scanning equipment, PDF generation software, and compression algorithms may have changed over the 2013–2023 study period, potentially affecting similarity measurements. While cosine similarity and dHash are designed to be robust to such variations, longitudinal confounds cannot be entirely excluded.</w:t>
      </w:r>
    </w:p>
    <w:p>
      <w:pPr>
        <w:spacing w:after="120"/>
      </w:pPr>
      <w:r>
        <w:rPr>
          <w:rFonts w:ascii="Times New Roman" w:hAnsi="Times New Roman"/>
          <w:b w:val="0"/>
          <w:i w:val="0"/>
          <w:sz w:val="20"/>
        </w:rPr>
        <w:t>Source-exemplar misattribution in max/min pair logic. The max-cosine / min-dHash detection logic treats both ends of a near-identical same-CPA pair as non-hand-signed. In the rare case where one of the two documents contains a genuinely hand-signed exemplar that was subsequently reused as a stamping or e-signature template, the pair correctly identifies image reuse but misattributes non-hand-signed status to the source exemplar. This affects at most one source document per template variant per CPA and is not expected to be common.</w:t>
      </w:r>
    </w:p>
    <w:p>
      <w:pPr>
        <w:spacing w:after="120"/>
      </w:pPr>
      <w:r>
        <w:rPr>
          <w:rFonts w:ascii="Times New Roman" w:hAnsi="Times New Roman"/>
          <w:b w:val="0"/>
          <w:i w:val="0"/>
          <w:sz w:val="20"/>
        </w:rPr>
        <w:t>Legal and regulatory interpretation. Whether non-hand-signing of a CPA's own stored signature constitutes a violation of signing requirements is a jurisdiction-specific legal question. Our technical analysis can inform such determinations but cannot resolve them.</w:t>
      </w:r>
    </w:p>
    <w:p>
      <w:pPr>
        <w:pStyle w:val="Heading1"/>
      </w:pPr>
      <w:r>
        <w:rPr>
          <w:color w:val="000000"/>
        </w:rPr>
        <w:t>VI. Conclusion and Future Work</w:t>
      </w:r>
    </w:p>
    <w:p>
      <w:pPr>
        <w:spacing w:after="120"/>
      </w:pPr>
      <w:r>
        <w:rPr>
          <w:rFonts w:ascii="Times New Roman" w:hAnsi="Times New Roman"/>
          <w:b w:val="0"/>
          <w:i w:val="0"/>
          <w:sz w:val="20"/>
        </w:rPr>
        <w:t>We present a fully automated pipeline for screening non-hand-signed CPA signatures in Taiwan-listed financial audit reports, together with an anchor-calibrated screening framework that characterises the pipeline's operational behaviour at the Big-4 sub-corpus scope under explicit unsupervised assumptions. The pipeline processes raw PDFs through VLM-based page identification, YOLO-based signature detection, ResNet-50 feature extraction, and dual-descriptor (cosine + independent-minimum dHash) similarity computation. The operational output is the deployed five-way per-signature classifier with worst-case document-level aggregation (§III-H.1; calibrated in §III-L). Applied to 90,282 audit reports filed between 2013 and 2023, the pipeline extracts 182,328 signatures from 758 CPAs, with the Big-4 sub-corpus (437 CPAs at accountant level; 150,442–150,453 signatures at signature level) as the primary analytical population.</w:t>
      </w:r>
    </w:p>
    <w:p>
      <w:pPr>
        <w:spacing w:after="120"/>
      </w:pPr>
      <w:r>
        <w:rPr>
          <w:rFonts w:ascii="Times New Roman" w:hAnsi="Times New Roman"/>
          <w:b w:val="0"/>
          <w:i w:val="0"/>
          <w:sz w:val="20"/>
        </w:rPr>
        <w:t>Our central methodological contributions are: (1) a composition decomposition that establishes the absence of a within-population bimodal antimode in the Big-4 descriptor distribution: the apparent multimodality dissolves under joint firm-mean centring and integer-tie jitter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so distributional "natural-threshold" framings of the deployed operating points are not empirically supported; (2) an anchor-based inter-CPA coincidence-rate (ICCR) calibration at three units of analysis — per-comparison (</w:t>
      </w:r>
      <w:r>
        <w:rPr>
          <w:rFonts w:ascii="Times New Roman" w:hAnsi="Times New Roman"/>
          <w:b w:val="0"/>
          <w:i w:val="0"/>
          <w:sz w:val="20"/>
        </w:rPr>
        <w:t>0.0006</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at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0.00014</w:t>
      </w:r>
      <w:r>
        <w:rPr>
          <w:rFonts w:ascii="Times New Roman" w:hAnsi="Times New Roman"/>
          <w:b w:val="0"/>
          <w:i w:val="0"/>
          <w:sz w:val="20"/>
        </w:rPr>
        <w:t xml:space="preserve"> jointly), pool-normalised per-signature (</w:t>
      </w:r>
      <w:r>
        <w:rPr>
          <w:rFonts w:ascii="Times New Roman" w:hAnsi="Times New Roman"/>
          <w:b w:val="0"/>
          <w:i w:val="0"/>
          <w:sz w:val="20"/>
        </w:rPr>
        <w:t>0.11</w:t>
      </w:r>
      <w:r>
        <w:rPr>
          <w:rFonts w:ascii="Times New Roman" w:hAnsi="Times New Roman"/>
          <w:b w:val="0"/>
          <w:i w:val="0"/>
          <w:sz w:val="20"/>
        </w:rPr>
        <w:t xml:space="preserve"> for the deployed any-pair HC rule), and per-document (</w:t>
      </w:r>
      <w:r>
        <w:rPr>
          <w:rFonts w:ascii="Times New Roman" w:hAnsi="Times New Roman"/>
          <w:b w:val="0"/>
          <w:i w:val="0"/>
          <w:sz w:val="20"/>
        </w:rPr>
        <w:t>0.34</w:t>
      </w:r>
      <w:r>
        <w:rPr>
          <w:rFonts w:ascii="Times New Roman" w:hAnsi="Times New Roman"/>
          <w:b w:val="0"/>
          <w:i w:val="0"/>
          <w:sz w:val="20"/>
        </w:rPr>
        <w:t xml:space="preserve"> for the operational HC</w:t>
      </w:r>
      <w:r>
        <w:rPr>
          <w:rFonts w:ascii="Times New Roman" w:hAnsi="Times New Roman"/>
          <w:b w:val="0"/>
          <w:i w:val="0"/>
          <w:sz w:val="20"/>
        </w:rPr>
        <w:t>+</w:t>
      </w:r>
      <w:r>
        <w:rPr>
          <w:rFonts w:ascii="Times New Roman" w:hAnsi="Times New Roman"/>
          <w:b w:val="0"/>
          <w:i w:val="0"/>
          <w:sz w:val="20"/>
        </w:rPr>
        <w:t xml:space="preserve">MC alarm) — with explicit terminological replacement of "FAR" by "ICCR" given the unsupervised setting; (3) firm-level heterogeneity surfaced by the framework: logistic regression with pool-size adjustment gives odds ratios </w:t>
      </w:r>
      <w:r>
        <w:rPr>
          <w:rFonts w:ascii="Times New Roman" w:hAnsi="Times New Roman"/>
          <w:b w:val="0"/>
          <w:i w:val="0"/>
          <w:sz w:val="20"/>
        </w:rPr>
        <w:t>0.053</w:t>
      </w:r>
      <w:r>
        <w:rPr>
          <w:rFonts w:ascii="Times New Roman" w:hAnsi="Times New Roman"/>
          <w:b w:val="0"/>
          <w:i w:val="0"/>
          <w:sz w:val="20"/>
        </w:rPr>
        <w:t xml:space="preserve">, </w:t>
      </w:r>
      <w:r>
        <w:rPr>
          <w:rFonts w:ascii="Times New Roman" w:hAnsi="Times New Roman"/>
          <w:b w:val="0"/>
          <w:i w:val="0"/>
          <w:sz w:val="20"/>
        </w:rPr>
        <w:t>0.010</w:t>
      </w:r>
      <w:r>
        <w:rPr>
          <w:rFonts w:ascii="Times New Roman" w:hAnsi="Times New Roman"/>
          <w:b w:val="0"/>
          <w:i w:val="0"/>
          <w:sz w:val="20"/>
        </w:rPr>
        <w:t xml:space="preserve">, </w:t>
      </w:r>
      <w:r>
        <w:rPr>
          <w:rFonts w:ascii="Times New Roman" w:hAnsi="Times New Roman"/>
          <w:b w:val="0"/>
          <w:i w:val="0"/>
          <w:sz w:val="20"/>
        </w:rPr>
        <w:t>0.027</w:t>
      </w:r>
      <w:r>
        <w:rPr>
          <w:rFonts w:ascii="Times New Roman" w:hAnsi="Times New Roman"/>
          <w:b w:val="0"/>
          <w:i w:val="0"/>
          <w:sz w:val="20"/>
        </w:rPr>
        <w:t xml:space="preserve"> for Firms B/C/D relative to Firm A reference, a contrast that pool-size differences do not explain and that we report as a framework-discriminative observation rather than a mechanism finding (§V-H); (4) cross-firm hit matrix evidence that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consistent with — but not independently establishing — firm-level template-like reuse, digitisation-pipeline homogeneity, or signing-style similarity, which descriptor-only data cannot separate (§V-H); (5) K=3 mixture demoted from "three mechanism clusters" to a descriptive firm-compositional partition; (6) three feature-derived scores converging on the per-CPA descriptor-position ranking at Spearman </w:t>
      </w:r>
      <w:r>
        <w:rPr>
          <w:rFonts w:ascii="Times New Roman" w:hAnsi="Times New Roman"/>
          <w:b w:val="0"/>
          <w:i w:val="0"/>
          <w:sz w:val="20"/>
        </w:rPr>
        <w:t>ρ ≥ 0.879</w:t>
      </w:r>
      <w:r>
        <w:rPr>
          <w:rFonts w:ascii="Times New Roman" w:hAnsi="Times New Roman"/>
          <w:b w:val="0"/>
          <w:i w:val="0"/>
          <w:sz w:val="20"/>
        </w:rPr>
        <w:t xml:space="preserve">, reported as internal consistency rather than external validation; (7) </w:t>
      </w:r>
      <w:r>
        <w:rPr>
          <w:rFonts w:ascii="Times New Roman" w:hAnsi="Times New Roman"/>
          <w:b w:val="0"/>
          <w:i w:val="0"/>
          <w:sz w:val="20"/>
        </w:rPr>
        <w:t>0%</w:t>
      </w:r>
      <w:r>
        <w:rPr>
          <w:rFonts w:ascii="Times New Roman" w:hAnsi="Times New Roman"/>
          <w:b w:val="0"/>
          <w:i w:val="0"/>
          <w:sz w:val="20"/>
        </w:rPr>
        <w:t xml:space="preserve"> positive-anchor miss rate on 262 byte-identical Big-4 signatures with the conservative-subset caveat; and (8) explicit disclosure of each diagnostic's untested assumption (Appendix A Table A.II), positioning the system as an anchor-calibrated screening framework with human-in-the-loop review rather than as a validated forensic detector.</w:t>
      </w:r>
    </w:p>
    <w:p>
      <w:pPr>
        <w:spacing w:after="120"/>
      </w:pPr>
      <w:r>
        <w:rPr>
          <w:rFonts w:ascii="Times New Roman" w:hAnsi="Times New Roman"/>
          <w:b w:val="0"/>
          <w:i w:val="0"/>
          <w:sz w:val="20"/>
        </w:rPr>
        <w:t xml:space="preserve">Future work falls in four directions. First, a small-scale human-rated labelled set would enable direct ROC optimisation and provide the signature-level ground truth that the present analysis fundamentally lacks; without such ground truth, no true error rates can be reported. Second, the within-firm collision concentration documented in §III-L.4 (any-pair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98.8%</w:t>
      </w:r>
      <w:r>
        <w:rPr>
          <w:rFonts w:ascii="Times New Roman" w:hAnsi="Times New Roman"/>
          <w:b w:val="0"/>
          <w:i w:val="0"/>
          <w:sz w:val="20"/>
        </w:rPr>
        <w:t xml:space="preserve"> across Big-4; same-pair joint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invites a separate study to distinguish deliberate template sharing from passive firm-level production artefacts (shared scanners, common form templates, identical report-generation infrastructure) — a question the inter-CPA-anchor analysis alone cannot resolve. Third, the descriptive Firm A versus Firms B/C/D contrast (per-document HC</w:t>
      </w:r>
      <w:r>
        <w:rPr>
          <w:rFonts w:ascii="Times New Roman" w:hAnsi="Times New Roman"/>
          <w:b w:val="0"/>
          <w:i w:val="0"/>
          <w:sz w:val="20"/>
        </w:rPr>
        <w:t>+</w:t>
      </w:r>
      <w:r>
        <w:rPr>
          <w:rFonts w:ascii="Times New Roman" w:hAnsi="Times New Roman"/>
          <w:b w:val="0"/>
          <w:i w:val="0"/>
          <w:sz w:val="20"/>
        </w:rPr>
        <w:t xml:space="preserve">MC alarm </w:t>
      </w:r>
      <w:r>
        <w:rPr>
          <w:rFonts w:ascii="Times New Roman" w:hAnsi="Times New Roman"/>
          <w:b w:val="0"/>
          <w:i w:val="0"/>
          <w:sz w:val="20"/>
        </w:rPr>
        <w:t>0.62</w:t>
      </w:r>
      <w:r>
        <w:rPr>
          <w:rFonts w:ascii="Times New Roman" w:hAnsi="Times New Roman"/>
          <w:b w:val="0"/>
          <w:i w:val="0"/>
          <w:sz w:val="20"/>
        </w:rPr>
        <w:t xml:space="preserve"> vs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 together with the byte-level evidence of 145 pixel-identical signatures across </w:t>
      </w:r>
      <w:r>
        <w:rPr>
          <w:rFonts w:ascii="Times New Roman" w:hAnsi="Times New Roman"/>
          <w:b w:val="0"/>
          <w:i w:val="0"/>
          <w:sz w:val="20"/>
        </w:rPr>
        <w:t>~ 50</w:t>
      </w:r>
      <w:r>
        <w:rPr>
          <w:rFonts w:ascii="Times New Roman" w:hAnsi="Times New Roman"/>
          <w:b w:val="0"/>
          <w:i w:val="0"/>
          <w:sz w:val="20"/>
        </w:rPr>
        <w:t xml:space="preserve"> distinct Firm A partners — invites a companion analysis examining whether such firm-level signing patterns correlate with established audit-quality measures. Fourth, generalisation to mid- and small-firm contexts requires extending the anchor-based ICCR framework to scopes where firm-level LOOO folds are not available; the §III-I.4 composition diagnostics already document that the absence of within-population bimodality holds across the tested eligible scopes, so the calibration approach in principle generalises, but a full extension with cluster-robust uncertainty quantification is left as future work.</w:t>
      </w:r>
    </w:p>
    <w:p>
      <w:pPr>
        <w:pStyle w:val="Heading1"/>
      </w:pPr>
      <w:r>
        <w:rPr>
          <w:color w:val="000000"/>
        </w:rPr>
        <w:t>Appendix A. Supplementary Diagnostic Detail</w:t>
      </w:r>
    </w:p>
    <w:p>
      <w:pPr>
        <w:pStyle w:val="Heading2"/>
      </w:pPr>
      <w:r>
        <w:rPr>
          <w:color w:val="000000"/>
        </w:rPr>
        <w:t>A.1. BD/McCrary Bin-Width Sensitivity (Signature Level)</w:t>
      </w:r>
    </w:p>
    <w:p>
      <w:pPr>
        <w:spacing w:after="120"/>
      </w:pPr>
      <w:r>
        <w:rPr>
          <w:rFonts w:ascii="Times New Roman" w:hAnsi="Times New Roman"/>
          <w:b w:val="0"/>
          <w:i w:val="0"/>
          <w:sz w:val="20"/>
        </w:rPr>
        <w:t xml:space="preserve">The main text (Section III-I, Section IV-D Table VI)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direction.</w:t>
      </w:r>
    </w:p>
    <w:p>
      <w:pPr>
        <w:spacing w:after="120"/>
      </w:pPr>
      <w:r>
        <w:rPr>
          <w:rFonts w:ascii="Times New Roman" w:hAnsi="Times New Roman"/>
          <w:b w:val="0"/>
          <w:i w:val="0"/>
          <w:sz w:val="20"/>
        </w:rPr>
        <w:t xml:space="preserve">Table A.I. BD/McCrary Bin-Width Sensitivity (two-sided </w:t>
      </w:r>
      <w:r>
        <w:rPr>
          <w:rFonts w:ascii="Times New Roman" w:hAnsi="Times New Roman"/>
          <w:b w:val="0"/>
          <w:i w:val="0"/>
          <w:sz w:val="20"/>
        </w:rPr>
        <w:t>α = 0.05</w:t>
      </w:r>
      <w:r>
        <w:rPr>
          <w:rFonts w:ascii="Times New Roman" w:hAnsi="Times New Roman"/>
          <w:b w:val="0"/>
          <w:i w:val="0"/>
          <w:sz w:val="20"/>
        </w:rPr>
        <w:t xml:space="preserve">, </w:t>
      </w:r>
      <w:r>
        <w:rPr>
          <w:rFonts w:ascii="Times New Roman" w:hAnsi="Times New Roman"/>
          <w:b w:val="0"/>
          <w:i w:val="0"/>
          <w:sz w:val="20"/>
        </w:rPr>
        <w:t>|Z| &gt; 1.96</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Variant</w:t>
            </w:r>
          </w:p>
        </w:tc>
        <w:tc>
          <w:tcPr>
            <w:tcW w:type="dxa" w:w="1440"/>
          </w:tcPr>
          <w:p>
            <w:pPr>
              <w:jc w:val="center"/>
            </w:pPr>
            <w:r/>
            <w:r>
              <w:rPr>
                <w:rFonts w:ascii="Times New Roman" w:hAnsi="Times New Roman"/>
                <w:b/>
                <w:i w:val="0"/>
                <w:sz w:val="16"/>
              </w:rPr>
              <w:t>n</w:t>
            </w:r>
          </w:p>
        </w:tc>
        <w:tc>
          <w:tcPr>
            <w:tcW w:type="dxa" w:w="1440"/>
          </w:tcPr>
          <w:p>
            <w:pPr>
              <w:jc w:val="center"/>
            </w:pPr>
            <w:r/>
            <w:r>
              <w:rPr>
                <w:rFonts w:ascii="Times New Roman" w:hAnsi="Times New Roman"/>
                <w:b/>
                <w:i w:val="0"/>
                <w:sz w:val="16"/>
              </w:rPr>
              <w:t>Bin width</w:t>
            </w:r>
          </w:p>
        </w:tc>
        <w:tc>
          <w:tcPr>
            <w:tcW w:type="dxa" w:w="1440"/>
          </w:tcPr>
          <w:p>
            <w:pPr>
              <w:jc w:val="center"/>
            </w:pPr>
            <w:r/>
            <w:r>
              <w:rPr>
                <w:rFonts w:ascii="Times New Roman" w:hAnsi="Times New Roman"/>
                <w:b/>
                <w:i w:val="0"/>
                <w:sz w:val="16"/>
              </w:rPr>
              <w:t>Best transition</w:t>
            </w:r>
          </w:p>
        </w:tc>
        <w:tc>
          <w:tcPr>
            <w:tcW w:type="dxa" w:w="1440"/>
          </w:tcPr>
          <w:p>
            <w:pPr>
              <w:jc w:val="center"/>
            </w:pPr>
            <w:r/>
            <w:r>
              <w:rPr>
                <w:rFonts w:ascii="Times New Roman" w:hAnsi="Times New Roman"/>
                <w:b/>
                <w:i w:val="0"/>
                <w:sz w:val="16"/>
              </w:rPr>
              <w:t>z_below</w:t>
            </w:r>
          </w:p>
        </w:tc>
        <w:tc>
          <w:tcPr>
            <w:tcW w:type="dxa" w:w="1440"/>
          </w:tcPr>
          <w:p>
            <w:pPr>
              <w:jc w:val="center"/>
            </w:pPr>
            <w:r/>
            <w:r>
              <w:rPr>
                <w:rFonts w:ascii="Times New Roman" w:hAnsi="Times New Roman"/>
                <w:b/>
                <w:i w:val="0"/>
                <w:sz w:val="16"/>
              </w:rPr>
              <w:t>z_above</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-2.81</w:t>
            </w:r>
          </w:p>
        </w:tc>
        <w:tc>
          <w:tcPr>
            <w:tcW w:type="dxa" w:w="1440"/>
          </w:tcPr>
          <w:p>
            <w:pPr>
              <w:jc w:val="center"/>
            </w:pPr>
            <w:r/>
            <w:r>
              <w:rPr>
                <w:rFonts w:ascii="Times New Roman" w:hAnsi="Times New Roman"/>
                <w:b w:val="0"/>
                <w:i w:val="0"/>
                <w:sz w:val="16"/>
              </w:rPr>
              <w:t>+9.42</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-9.57</w:t>
            </w:r>
          </w:p>
        </w:tc>
        <w:tc>
          <w:tcPr>
            <w:tcW w:type="dxa" w:w="1440"/>
          </w:tcPr>
          <w:p>
            <w:pPr>
              <w:jc w:val="center"/>
            </w:pPr>
            <w:r/>
            <w:r>
              <w:rPr>
                <w:rFonts w:ascii="Times New Roman" w:hAnsi="Times New Roman"/>
                <w:b w:val="0"/>
                <w:i w:val="0"/>
                <w:sz w:val="16"/>
              </w:rPr>
              <w:t>+19.07</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-54.64</w:t>
            </w:r>
          </w:p>
        </w:tc>
        <w:tc>
          <w:tcPr>
            <w:tcW w:type="dxa" w:w="1440"/>
          </w:tcPr>
          <w:p>
            <w:pPr>
              <w:jc w:val="center"/>
            </w:pPr>
            <w:r/>
            <w:r>
              <w:rPr>
                <w:rFonts w:ascii="Times New Roman" w:hAnsi="Times New Roman"/>
                <w:b w:val="0"/>
                <w:i w:val="0"/>
                <w:sz w:val="16"/>
              </w:rPr>
              <w:t>+69.96</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0.9750</w:t>
            </w:r>
          </w:p>
        </w:tc>
        <w:tc>
          <w:tcPr>
            <w:tcW w:type="dxa" w:w="1440"/>
          </w:tcPr>
          <w:p>
            <w:pPr>
              <w:jc w:val="center"/>
            </w:pPr>
            <w:r/>
            <w:r>
              <w:rPr>
                <w:rFonts w:ascii="Times New Roman" w:hAnsi="Times New Roman"/>
                <w:b w:val="0"/>
                <w:i w:val="0"/>
                <w:sz w:val="16"/>
              </w:rPr>
              <w:t>-85.86</w:t>
            </w:r>
          </w:p>
        </w:tc>
        <w:tc>
          <w:tcPr>
            <w:tcW w:type="dxa" w:w="1440"/>
          </w:tcPr>
          <w:p>
            <w:pPr>
              <w:jc w:val="center"/>
            </w:pPr>
            <w:r/>
            <w:r>
              <w:rPr>
                <w:rFonts w:ascii="Times New Roman" w:hAnsi="Times New Roman"/>
                <w:b w:val="0"/>
                <w:i w:val="0"/>
                <w:sz w:val="16"/>
              </w:rPr>
              <w:t>+106.17</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-4.69</w:t>
            </w:r>
          </w:p>
        </w:tc>
        <w:tc>
          <w:tcPr>
            <w:tcW w:type="dxa" w:w="1440"/>
          </w:tcPr>
          <w:p>
            <w:pPr>
              <w:jc w:val="center"/>
            </w:pPr>
            <w:r/>
            <w:r>
              <w:rPr>
                <w:rFonts w:ascii="Times New Roman" w:hAnsi="Times New Roman"/>
                <w:b w:val="0"/>
                <w:i w:val="0"/>
                <w:sz w:val="16"/>
              </w:rPr>
              <w:t>+10.01</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-3.21</w:t>
            </w:r>
          </w:p>
        </w:tc>
        <w:tc>
          <w:tcPr>
            <w:tcW w:type="dxa" w:w="1440"/>
          </w:tcPr>
          <w:p>
            <w:pPr>
              <w:jc w:val="center"/>
            </w:pPr>
            <w:r/>
            <w:r>
              <w:rPr>
                <w:rFonts w:ascii="Times New Roman" w:hAnsi="Times New Roman"/>
                <w:b w:val="0"/>
                <w:i w:val="0"/>
                <w:sz w:val="16"/>
              </w:rPr>
              <w:t>+8.17</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-8.80</w:t>
            </w:r>
          </w:p>
        </w:tc>
        <w:tc>
          <w:tcPr>
            <w:tcW w:type="dxa" w:w="1440"/>
          </w:tcPr>
          <w:p>
            <w:pPr>
              <w:jc w:val="center"/>
            </w:pPr>
            <w:r/>
            <w:r>
              <w:rPr>
                <w:rFonts w:ascii="Times New Roman" w:hAnsi="Times New Roman"/>
                <w:b w:val="0"/>
                <w:i w:val="0"/>
                <w:sz w:val="16"/>
              </w:rPr>
              <w:t>+14.32</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-29.69</w:t>
            </w:r>
          </w:p>
        </w:tc>
        <w:tc>
          <w:tcPr>
            <w:tcW w:type="dxa" w:w="1440"/>
          </w:tcPr>
          <w:p>
            <w:pPr>
              <w:jc w:val="center"/>
            </w:pPr>
            <w:r/>
            <w:r>
              <w:rPr>
                <w:rFonts w:ascii="Times New Roman" w:hAnsi="Times New Roman"/>
                <w:b w:val="0"/>
                <w:i w:val="0"/>
                <w:sz w:val="16"/>
              </w:rPr>
              <w:t>+44.91</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0.9450</w:t>
            </w:r>
          </w:p>
        </w:tc>
        <w:tc>
          <w:tcPr>
            <w:tcW w:type="dxa" w:w="1440"/>
          </w:tcPr>
          <w:p>
            <w:pPr>
              <w:jc w:val="center"/>
            </w:pPr>
            <w:r/>
            <w:r>
              <w:rPr>
                <w:rFonts w:ascii="Times New Roman" w:hAnsi="Times New Roman"/>
                <w:b w:val="0"/>
                <w:i w:val="0"/>
                <w:sz w:val="16"/>
              </w:rPr>
              <w:t>-11.35</w:t>
            </w:r>
          </w:p>
        </w:tc>
        <w:tc>
          <w:tcPr>
            <w:tcW w:type="dxa" w:w="1440"/>
          </w:tcPr>
          <w:p>
            <w:pPr>
              <w:jc w:val="center"/>
            </w:pPr>
            <w:r/>
            <w:r>
              <w:rPr>
                <w:rFonts w:ascii="Times New Roman" w:hAnsi="Times New Roman"/>
                <w:b w:val="0"/>
                <w:i w:val="0"/>
                <w:sz w:val="16"/>
              </w:rPr>
              <w:t>+14.85</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-6.22</w:t>
            </w:r>
          </w:p>
        </w:tc>
        <w:tc>
          <w:tcPr>
            <w:tcW w:type="dxa" w:w="1440"/>
          </w:tcPr>
          <w:p>
            <w:pPr>
              <w:jc w:val="center"/>
            </w:pPr>
            <w:r/>
            <w:r>
              <w:rPr>
                <w:rFonts w:ascii="Times New Roman" w:hAnsi="Times New Roman"/>
                <w:b w:val="0"/>
                <w:i w:val="0"/>
                <w:sz w:val="16"/>
              </w:rPr>
              <w:t>+4.89</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10.0</w:t>
            </w:r>
          </w:p>
        </w:tc>
        <w:tc>
          <w:tcPr>
            <w:tcW w:type="dxa" w:w="1440"/>
          </w:tcPr>
          <w:p>
            <w:pPr>
              <w:jc w:val="center"/>
            </w:pPr>
            <w:r/>
            <w:r>
              <w:rPr>
                <w:rFonts w:ascii="Times New Roman" w:hAnsi="Times New Roman"/>
                <w:b w:val="0"/>
                <w:i w:val="0"/>
                <w:sz w:val="16"/>
              </w:rPr>
              <w:t>-7.35</w:t>
            </w:r>
          </w:p>
        </w:tc>
        <w:tc>
          <w:tcPr>
            <w:tcW w:type="dxa" w:w="1440"/>
          </w:tcPr>
          <w:p>
            <w:pPr>
              <w:jc w:val="center"/>
            </w:pPr>
            <w:r/>
            <w:r>
              <w:rPr>
                <w:rFonts w:ascii="Times New Roman" w:hAnsi="Times New Roman"/>
                <w:b w:val="0"/>
                <w:i w:val="0"/>
                <w:sz w:val="16"/>
              </w:rPr>
              <w:t>+3.83</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9.0</w:t>
            </w:r>
          </w:p>
        </w:tc>
        <w:tc>
          <w:tcPr>
            <w:tcW w:type="dxa" w:w="1440"/>
          </w:tcPr>
          <w:p>
            <w:pPr>
              <w:jc w:val="center"/>
            </w:pPr>
            <w:r/>
            <w:r>
              <w:rPr>
                <w:rFonts w:ascii="Times New Roman" w:hAnsi="Times New Roman"/>
                <w:b w:val="0"/>
                <w:i w:val="0"/>
                <w:sz w:val="16"/>
              </w:rPr>
              <w:t>-11.05</w:t>
            </w:r>
          </w:p>
        </w:tc>
        <w:tc>
          <w:tcPr>
            <w:tcW w:type="dxa" w:w="1440"/>
          </w:tcPr>
          <w:p>
            <w:pPr>
              <w:jc w:val="center"/>
            </w:pPr>
            <w:r/>
            <w:r>
              <w:rPr>
                <w:rFonts w:ascii="Times New Roman" w:hAnsi="Times New Roman"/>
                <w:b w:val="0"/>
                <w:i w:val="0"/>
                <w:sz w:val="16"/>
              </w:rPr>
              <w:t>+45.39</w:t>
            </w:r>
          </w:p>
        </w:tc>
      </w:tr>
    </w:tbl>
    <w:p/>
    <w:p>
      <w:pPr>
        <w:spacing w:after="120"/>
      </w:pPr>
      <w:r>
        <w:rPr>
          <w:rFonts w:ascii="Times New Roman" w:hAnsi="Times New Roman"/>
          <w:b w:val="0"/>
          <w:i w:val="0"/>
          <w:sz w:val="20"/>
        </w:rPr>
        <w:t xml:space="preserve">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w:t>
      </w:r>
      <w:r>
        <w:rPr>
          <w:rFonts w:ascii="Times New Roman" w:hAnsi="Times New Roman"/>
          <w:b w:val="0"/>
          <w:i w:val="0"/>
          <w:sz w:val="20"/>
        </w:rPr>
        <w:t>Z</w:t>
      </w:r>
      <w:r>
        <w:rPr>
          <w:rFonts w:ascii="Times New Roman" w:hAnsi="Times New Roman"/>
          <w:b w:val="0"/>
          <w:i w:val="0"/>
          <w:sz w:val="20"/>
        </w:rPr>
        <w:t xml:space="preserve"> statistics also inflate superlinearly with the bin width (Firm A cosine </w:t>
      </w:r>
      <w:r>
        <w:rPr>
          <w:rFonts w:ascii="Times New Roman" w:hAnsi="Times New Roman"/>
          <w:b w:val="0"/>
          <w:i w:val="0"/>
          <w:sz w:val="20"/>
        </w:rPr>
        <w:t>|Z|</w:t>
      </w:r>
      <w:r>
        <w:rPr>
          <w:rFonts w:ascii="Times New Roman" w:hAnsi="Times New Roman"/>
          <w:b w:val="0"/>
          <w:i w:val="0"/>
          <w:sz w:val="20"/>
        </w:rPr>
        <w:t xml:space="preserve"> rises from </w:t>
      </w:r>
      <w:r>
        <w:rPr>
          <w:rFonts w:ascii="Times New Roman" w:hAnsi="Times New Roman"/>
          <w:b w:val="0"/>
          <w:i w:val="0"/>
          <w:sz w:val="20"/>
        </w:rPr>
        <w:t>~ 9</w:t>
      </w:r>
      <w:r>
        <w:rPr>
          <w:rFonts w:ascii="Times New Roman" w:hAnsi="Times New Roman"/>
          <w:b w:val="0"/>
          <w:i w:val="0"/>
          <w:sz w:val="20"/>
        </w:rPr>
        <w:t xml:space="preserve"> at bin 0.003 to </w:t>
      </w:r>
      <w:r>
        <w:rPr>
          <w:rFonts w:ascii="Times New Roman" w:hAnsi="Times New Roman"/>
          <w:b w:val="0"/>
          <w:i w:val="0"/>
          <w:sz w:val="20"/>
        </w:rPr>
        <w:t>~ 106</w:t>
      </w:r>
      <w:r>
        <w:rPr>
          <w:rFonts w:ascii="Times New Roman" w:hAnsi="Times New Roman"/>
          <w:b w:val="0"/>
          <w:i w:val="0"/>
          <w:sz w:val="20"/>
        </w:rPr>
        <w:t xml:space="preserve">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b w:val="0"/>
          <w:i w:val="0"/>
          <w:sz w:val="20"/>
        </w:rPr>
        <w:t xml:space="preserve">Second, the candidate transitions all locate inside the high-similarity region (cosine </w:t>
      </w:r>
      <w:r>
        <w:rPr>
          <w:rFonts w:ascii="Times New Roman" w:hAnsi="Times New Roman"/>
          <w:b w:val="0"/>
          <w:i w:val="0"/>
          <w:sz w:val="20"/>
        </w:rPr>
        <w:t>≥ 0.975</w:t>
      </w:r>
      <w:r>
        <w:rPr>
          <w:rFonts w:ascii="Times New Roman" w:hAnsi="Times New Roman"/>
          <w:b w:val="0"/>
          <w:i w:val="0"/>
          <w:sz w:val="20"/>
        </w:rPr>
        <w:t xml:space="preserve">, dHash </w:t>
      </w:r>
      <w:r>
        <w:rPr>
          <w:rFonts w:ascii="Times New Roman" w:hAnsi="Times New Roman"/>
          <w:b w:val="0"/>
          <w:i w:val="0"/>
          <w:sz w:val="20"/>
        </w:rPr>
        <w:t>≤ 10</w:t>
      </w:r>
      <w:r>
        <w:rPr>
          <w:rFonts w:ascii="Times New Roman" w:hAnsi="Times New Roman"/>
          <w:b w:val="0"/>
          <w:i w:val="0"/>
          <w:sz w:val="20"/>
        </w:rPr>
        <w:t>) rather than at a between-mode boundary, which is the location pattern we would expect of a clean within-population antimode.</w:t>
      </w:r>
    </w:p>
    <w:p>
      <w:pPr>
        <w:spacing w:after="120"/>
      </w:pPr>
      <w:r>
        <w:rPr>
          <w:rFonts w:ascii="Times New Roman" w:hAnsi="Times New Roman"/>
          <w:b w:val="0"/>
          <w:i w:val="0"/>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the descriptor distributions do not contain a within-population bimodal antimode that could anchor an operational threshold.</w:t>
      </w:r>
    </w:p>
    <w:p>
      <w:pPr>
        <w:spacing w:after="120"/>
      </w:pPr>
      <w:r>
        <w:rPr>
          <w:rFonts w:ascii="Times New Roman" w:hAnsi="Times New Roman"/>
          <w:b w:val="0"/>
          <w:i w:val="0"/>
          <w:sz w:val="20"/>
        </w:rPr>
        <w:t xml:space="preserve">Raw per-bin </w:t>
      </w:r>
      <w:r>
        <w:rPr>
          <w:rFonts w:ascii="Times New Roman" w:hAnsi="Times New Roman"/>
          <w:b w:val="0"/>
          <w:i w:val="0"/>
          <w:sz w:val="20"/>
        </w:rPr>
        <w:t>Z</w:t>
      </w:r>
      <w:r>
        <w:rPr>
          <w:rFonts w:ascii="Times New Roman" w:hAnsi="Times New Roman"/>
          <w:b w:val="0"/>
          <w:i w:val="0"/>
          <w:sz w:val="20"/>
        </w:rPr>
        <w:t xml:space="preserve"> sequences and </w:t>
      </w:r>
      <w:r>
        <w:rPr>
          <w:rFonts w:ascii="Times New Roman" w:hAnsi="Times New Roman"/>
          <w:b w:val="0"/>
          <w:i w:val="0"/>
          <w:sz w:val="20"/>
        </w:rPr>
        <w:t>p</w:t>
      </w:r>
      <w:r>
        <w:rPr>
          <w:rFonts w:ascii="Times New Roman" w:hAnsi="Times New Roman"/>
          <w:b w:val="0"/>
          <w:i w:val="0"/>
          <w:sz w:val="20"/>
        </w:rPr>
        <w:t>-values for every (variant, bin-width) panel are available in the supplementary materials.</w:t>
      </w:r>
    </w:p>
    <w:p>
      <w:pPr>
        <w:pStyle w:val="Heading2"/>
      </w:pPr>
      <w:r>
        <w:rPr>
          <w:color w:val="000000"/>
        </w:rPr>
        <w:t>A.2. Diagnostic Summary</w:t>
      </w:r>
    </w:p>
    <w:p>
      <w:pPr>
        <w:spacing w:after="120"/>
      </w:pPr>
      <w:r>
        <w:rPr>
          <w:rFonts w:ascii="Times New Roman" w:hAnsi="Times New Roman"/>
          <w:b w:val="0"/>
          <w:i w:val="0"/>
          <w:sz w:val="20"/>
        </w:rPr>
        <w:t>Section III-M positions the unsupervised-diagnostic strategy as a set of complementary checks, each addressing one specific failure mode of an unsupervised screening classifier with an explicitly disclosed untested assumption. Table A.II maps each diagnostic to the failure mode it addresses and to the untested assumption it relies on.</w:t>
      </w:r>
    </w:p>
    <w:p>
      <w:pPr>
        <w:spacing w:after="120"/>
      </w:pPr>
      <w:r>
        <w:rPr>
          <w:rFonts w:ascii="Times New Roman" w:hAnsi="Times New Roman"/>
          <w:b w:val="0"/>
          <w:i w:val="0"/>
          <w:sz w:val="20"/>
        </w:rPr>
        <w:t>Table A.II. Diagnostics, failure mode addressed, and disclosed untested assumption.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Diagnostic</w:t>
            </w:r>
          </w:p>
        </w:tc>
        <w:tc>
          <w:tcPr>
            <w:tcW w:type="dxa" w:w="2880"/>
          </w:tcPr>
          <w:p>
            <w:pPr>
              <w:jc w:val="center"/>
            </w:pPr>
            <w:r/>
            <w:r>
              <w:rPr>
                <w:rFonts w:ascii="Times New Roman" w:hAnsi="Times New Roman"/>
                <w:b/>
                <w:i w:val="0"/>
                <w:sz w:val="16"/>
              </w:rPr>
              <w:t>Failure mode addressed</w:t>
            </w:r>
          </w:p>
        </w:tc>
        <w:tc>
          <w:tcPr>
            <w:tcW w:type="dxa" w:w="2880"/>
          </w:tcPr>
          <w:p>
            <w:pPr>
              <w:jc w:val="center"/>
            </w:pPr>
            <w:r/>
            <w:r>
              <w:rPr>
                <w:rFonts w:ascii="Times New Roman" w:hAnsi="Times New Roman"/>
                <w:b/>
                <w:i w:val="0"/>
                <w:sz w:val="16"/>
              </w:rPr>
              <w:t>Disclosed untested assumption</w:t>
            </w:r>
          </w:p>
        </w:tc>
      </w:tr>
      <w:tr>
        <w:tc>
          <w:tcPr>
            <w:tcW w:type="dxa" w:w="2880"/>
          </w:tcPr>
          <w:p>
            <w:pPr>
              <w:jc w:val="center"/>
            </w:pPr>
            <w:r/>
            <w:r>
              <w:rPr>
                <w:rFonts w:ascii="Times New Roman" w:hAnsi="Times New Roman"/>
                <w:b w:val="0"/>
                <w:i w:val="0"/>
                <w:sz w:val="16"/>
              </w:rPr>
              <w:t>Composition decomposition (§III-I.4; Scripts 39b–39e)</w:t>
            </w:r>
          </w:p>
        </w:tc>
        <w:tc>
          <w:tcPr>
            <w:tcW w:type="dxa" w:w="2880"/>
          </w:tcPr>
          <w:p>
            <w:pPr>
              <w:jc w:val="center"/>
            </w:pPr>
            <w:r/>
            <w:r>
              <w:rPr>
                <w:rFonts w:ascii="Times New Roman" w:hAnsi="Times New Roman"/>
                <w:b w:val="0"/>
                <w:i w:val="0"/>
                <w:sz w:val="16"/>
              </w:rPr>
              <w:t xml:space="preserve">Whether descriptor multimodality is within-population (mechanism) or between-group (composition + integer artefact); </w:t>
            </w:r>
            <w:r>
              <w:rPr>
                <w:rFonts w:ascii="Times New Roman" w:hAnsi="Times New Roman"/>
                <w:b w:val="0"/>
                <w:i w:val="0"/>
                <w:sz w:val="16"/>
              </w:rPr>
              <w:t>p</w:t>
            </w:r>
            <w:r>
              <w:rPr>
                <w:rFonts w:ascii="Times New Roman" w:hAnsi="Times New Roman"/>
                <w:b w:val="0"/>
                <w:i w:val="0"/>
                <w:sz w:val="16"/>
                <w:vertAlign w:val="subscript"/>
              </w:rPr>
              <w:t>median</w:t>
            </w:r>
            <w:r>
              <w:rPr>
                <w:rFonts w:ascii="Times New Roman" w:hAnsi="Times New Roman"/>
                <w:b w:val="0"/>
                <w:i w:val="0"/>
                <w:sz w:val="16"/>
              </w:rPr>
              <w:t xml:space="preserve"> = 0.35</w:t>
            </w:r>
            <w:r>
              <w:rPr>
                <w:rFonts w:ascii="Times New Roman" w:hAnsi="Times New Roman"/>
                <w:b w:val="0"/>
                <w:i w:val="0"/>
                <w:sz w:val="16"/>
              </w:rPr>
              <w:t xml:space="preserve"> under joint firm-mean centring + integer-tie jitter</w:t>
            </w:r>
          </w:p>
        </w:tc>
        <w:tc>
          <w:tcPr>
            <w:tcW w:type="dxa" w:w="2880"/>
          </w:tcPr>
          <w:p>
            <w:pPr>
              <w:jc w:val="center"/>
            </w:pPr>
            <w:r/>
            <w:r>
              <w:rPr>
                <w:rFonts w:ascii="Times New Roman" w:hAnsi="Times New Roman"/>
                <w:b w:val="0"/>
                <w:i w:val="0"/>
                <w:sz w:val="16"/>
              </w:rPr>
              <w:t>Integer-tie jitter and firm-mean centring are unbiased over the descriptor support; corroborated by Big-4 per-firm jitter (Script 39d; per-firm dHash rejection disappears under jitter at every Big-4 firm) and Big-4 pooled centred + jittered (</w:t>
            </w:r>
            <w:r>
              <w:rPr>
                <w:rFonts w:ascii="Times New Roman" w:hAnsi="Times New Roman"/>
                <w:b w:val="0"/>
                <w:i w:val="0"/>
                <w:sz w:val="16"/>
              </w:rPr>
              <w:t>n</w:t>
            </w:r>
            <w:r>
              <w:rPr>
                <w:rFonts w:ascii="Times New Roman" w:hAnsi="Times New Roman"/>
                <w:b w:val="0"/>
                <w:i w:val="0"/>
                <w:sz w:val="16"/>
                <w:vertAlign w:val="subscript"/>
              </w:rPr>
              <w:t>seeds</w:t>
            </w:r>
            <w:r>
              <w:rPr>
                <w:rFonts w:ascii="Times New Roman" w:hAnsi="Times New Roman"/>
                <w:b w:val="0"/>
                <w:i w:val="0"/>
                <w:sz w:val="16"/>
              </w:rPr>
              <w:t xml:space="preserve"> = 5</w:t>
            </w:r>
            <w:r>
              <w:rPr>
                <w:rFonts w:ascii="Times New Roman" w:hAnsi="Times New Roman"/>
                <w:b w:val="0"/>
                <w:i w:val="0"/>
                <w:sz w:val="16"/>
              </w:rPr>
              <w:t>; Script 39e)</w:t>
            </w:r>
          </w:p>
        </w:tc>
      </w:tr>
      <w:tr>
        <w:tc>
          <w:tcPr>
            <w:tcW w:type="dxa" w:w="2880"/>
          </w:tcPr>
          <w:p>
            <w:pPr>
              <w:jc w:val="center"/>
            </w:pPr>
            <w:r/>
            <w:r>
              <w:rPr>
                <w:rFonts w:ascii="Times New Roman" w:hAnsi="Times New Roman"/>
                <w:b w:val="0"/>
                <w:i w:val="0"/>
                <w:sz w:val="16"/>
              </w:rPr>
              <w:t>Per-comparison inter-CPA coincidence rate (§III-L.1; Script 40b)</w:t>
            </w:r>
          </w:p>
        </w:tc>
        <w:tc>
          <w:tcPr>
            <w:tcW w:type="dxa" w:w="2880"/>
          </w:tcPr>
          <w:p>
            <w:pPr>
              <w:jc w:val="center"/>
            </w:pPr>
            <w:r/>
            <w:r>
              <w:rPr>
                <w:rFonts w:ascii="Times New Roman" w:hAnsi="Times New Roman"/>
                <w:b w:val="0"/>
                <w:i w:val="0"/>
                <w:sz w:val="16"/>
              </w:rPr>
              <w:t>Pair-level specificity proxy under a random-pair negative anchor</w:t>
            </w:r>
          </w:p>
        </w:tc>
        <w:tc>
          <w:tcPr>
            <w:tcW w:type="dxa" w:w="2880"/>
          </w:tcPr>
          <w:p>
            <w:pPr>
              <w:jc w:val="center"/>
            </w:pPr>
            <w:r/>
            <w:r>
              <w:rPr>
                <w:rFonts w:ascii="Times New Roman" w:hAnsi="Times New Roman"/>
                <w:b w:val="0"/>
                <w:i w:val="0"/>
                <w:sz w:val="16"/>
              </w:rPr>
              <w:t>Inter-CPA pairs are negative (i.e., not template-related); partially violated by within-firm sharing (§III-L.4)</w:t>
            </w:r>
          </w:p>
        </w:tc>
      </w:tr>
      <w:tr>
        <w:tc>
          <w:tcPr>
            <w:tcW w:type="dxa" w:w="2880"/>
          </w:tcPr>
          <w:p>
            <w:pPr>
              <w:jc w:val="center"/>
            </w:pPr>
            <w:r/>
            <w:r>
              <w:rPr>
                <w:rFonts w:ascii="Times New Roman" w:hAnsi="Times New Roman"/>
                <w:b w:val="0"/>
                <w:i w:val="0"/>
                <w:sz w:val="16"/>
              </w:rPr>
              <w:t>Pool-normalised per-signature ICCR (§III-L.2; Script 43)</w:t>
            </w:r>
          </w:p>
        </w:tc>
        <w:tc>
          <w:tcPr>
            <w:tcW w:type="dxa" w:w="2880"/>
          </w:tcPr>
          <w:p>
            <w:pPr>
              <w:jc w:val="center"/>
            </w:pPr>
            <w:r/>
            <w:r>
              <w:rPr>
                <w:rFonts w:ascii="Times New Roman" w:hAnsi="Times New Roman"/>
                <w:b w:val="0"/>
                <w:i w:val="0"/>
                <w:sz w:val="16"/>
              </w:rPr>
              <w:t>Deployed-rule specificity proxy at per-signature unit, accounting for pool size</w:t>
            </w:r>
          </w:p>
        </w:tc>
        <w:tc>
          <w:tcPr>
            <w:tcW w:type="dxa" w:w="2880"/>
          </w:tcPr>
          <w:p>
            <w:pPr>
              <w:jc w:val="center"/>
            </w:pPr>
            <w:r/>
            <w:r>
              <w:rPr>
                <w:rFonts w:ascii="Times New Roman" w:hAnsi="Times New Roman"/>
                <w:b w:val="0"/>
                <w:i w:val="0"/>
                <w:sz w:val="16"/>
              </w:rPr>
              <w:t>Same as above + that pool replacement preserves the negative-anchor property</w:t>
            </w:r>
          </w:p>
        </w:tc>
      </w:tr>
      <w:tr>
        <w:tc>
          <w:tcPr>
            <w:tcW w:type="dxa" w:w="2880"/>
          </w:tcPr>
          <w:p>
            <w:pPr>
              <w:jc w:val="center"/>
            </w:pPr>
            <w:r/>
            <w:r>
              <w:rPr>
                <w:rFonts w:ascii="Times New Roman" w:hAnsi="Times New Roman"/>
                <w:b w:val="0"/>
                <w:i w:val="0"/>
                <w:sz w:val="16"/>
              </w:rPr>
              <w:t>Document-level ICCR (§III-L.3; Script 45)</w:t>
            </w:r>
          </w:p>
        </w:tc>
        <w:tc>
          <w:tcPr>
            <w:tcW w:type="dxa" w:w="2880"/>
          </w:tcPr>
          <w:p>
            <w:pPr>
              <w:jc w:val="center"/>
            </w:pPr>
            <w:r/>
            <w:r>
              <w:rPr>
                <w:rFonts w:ascii="Times New Roman" w:hAnsi="Times New Roman"/>
                <w:b w:val="0"/>
                <w:i w:val="0"/>
                <w:sz w:val="16"/>
              </w:rPr>
              <w:t>Operational alarm rate proxy at per-document unit under three alarm definitions</w:t>
            </w:r>
          </w:p>
        </w:tc>
        <w:tc>
          <w:tcPr>
            <w:tcW w:type="dxa" w:w="2880"/>
          </w:tcPr>
          <w:p>
            <w:pPr>
              <w:jc w:val="center"/>
            </w:pPr>
            <w:r/>
            <w:r>
              <w:rPr>
                <w:rFonts w:ascii="Times New Roman" w:hAnsi="Times New Roman"/>
                <w:b w:val="0"/>
                <w:i w:val="0"/>
                <w:sz w:val="16"/>
              </w:rPr>
              <w:t>Same as above</w:t>
            </w:r>
          </w:p>
        </w:tc>
      </w:tr>
      <w:tr>
        <w:tc>
          <w:tcPr>
            <w:tcW w:type="dxa" w:w="2880"/>
          </w:tcPr>
          <w:p>
            <w:pPr>
              <w:jc w:val="center"/>
            </w:pPr>
            <w:r/>
            <w:r>
              <w:rPr>
                <w:rFonts w:ascii="Times New Roman" w:hAnsi="Times New Roman"/>
                <w:b w:val="0"/>
                <w:i w:val="0"/>
                <w:sz w:val="16"/>
              </w:rPr>
              <w:t>Firm-heterogeneity logistic regression (§III-L.4; Script 44)</w:t>
            </w:r>
          </w:p>
        </w:tc>
        <w:tc>
          <w:tcPr>
            <w:tcW w:type="dxa" w:w="2880"/>
          </w:tcPr>
          <w:p>
            <w:pPr>
              <w:jc w:val="center"/>
            </w:pPr>
            <w:r/>
            <w:r>
              <w:rPr>
                <w:rFonts w:ascii="Times New Roman" w:hAnsi="Times New Roman"/>
                <w:b w:val="0"/>
                <w:i w:val="0"/>
                <w:sz w:val="16"/>
              </w:rPr>
              <w:t>Multiplicative effect of firm membership on per-signature rate, controlling for pool size</w:t>
            </w:r>
          </w:p>
        </w:tc>
        <w:tc>
          <w:tcPr>
            <w:tcW w:type="dxa" w:w="2880"/>
          </w:tcPr>
          <w:p>
            <w:pPr>
              <w:jc w:val="center"/>
            </w:pPr>
            <w:r/>
            <w:r>
              <w:rPr>
                <w:rFonts w:ascii="Times New Roman" w:hAnsi="Times New Roman"/>
                <w:b w:val="0"/>
                <w:i w:val="0"/>
                <w:sz w:val="16"/>
              </w:rPr>
              <w:t>Per-signature observations are clustered by CPA/firm; naïve standard errors unreliable; cluster-robust analysis is a future check</w:t>
            </w:r>
          </w:p>
        </w:tc>
      </w:tr>
      <w:tr>
        <w:tc>
          <w:tcPr>
            <w:tcW w:type="dxa" w:w="2880"/>
          </w:tcPr>
          <w:p>
            <w:pPr>
              <w:jc w:val="center"/>
            </w:pPr>
            <w:r/>
            <w:r>
              <w:rPr>
                <w:rFonts w:ascii="Times New Roman" w:hAnsi="Times New Roman"/>
                <w:b w:val="0"/>
                <w:i w:val="0"/>
                <w:sz w:val="16"/>
              </w:rPr>
              <w:t>Cross-firm hit matrix (§III-L.4; Script 44)</w:t>
            </w:r>
          </w:p>
        </w:tc>
        <w:tc>
          <w:tcPr>
            <w:tcW w:type="dxa" w:w="2880"/>
          </w:tcPr>
          <w:p>
            <w:pPr>
              <w:jc w:val="center"/>
            </w:pPr>
            <w:r/>
            <w:r>
              <w:rPr>
                <w:rFonts w:ascii="Times New Roman" w:hAnsi="Times New Roman"/>
                <w:b w:val="0"/>
                <w:i w:val="0"/>
                <w:sz w:val="16"/>
              </w:rPr>
              <w:t>Concentration of inter-CPA collisions within source firm</w:t>
            </w:r>
          </w:p>
        </w:tc>
        <w:tc>
          <w:tcPr>
            <w:tcW w:type="dxa" w:w="2880"/>
          </w:tcPr>
          <w:p>
            <w:pPr>
              <w:jc w:val="center"/>
            </w:pPr>
            <w:r/>
            <w:r>
              <w:rPr>
                <w:rFonts w:ascii="Times New Roman" w:hAnsi="Times New Roman"/>
                <w:b w:val="0"/>
                <w:i w:val="0"/>
                <w:sz w:val="16"/>
              </w:rPr>
              <w:t xml:space="preserve">Concentration depends on deployed-rule semantics (the stricter same-pair joint event yields </w:t>
            </w:r>
            <w:r>
              <w:rPr>
                <w:rFonts w:ascii="Times New Roman" w:hAnsi="Times New Roman"/>
                <w:b w:val="0"/>
                <w:i w:val="0"/>
                <w:sz w:val="16"/>
              </w:rPr>
              <w:t>97.0</w:t>
            </w:r>
            <w:r>
              <w:rPr>
                <w:rFonts w:ascii="Times New Roman" w:hAnsi="Times New Roman"/>
                <w:b w:val="0"/>
                <w:i w:val="0"/>
                <w:sz w:val="16"/>
              </w:rPr>
              <w:t>–</w:t>
            </w:r>
            <w:r>
              <w:rPr>
                <w:rFonts w:ascii="Times New Roman" w:hAnsi="Times New Roman"/>
                <w:b w:val="0"/>
                <w:i w:val="0"/>
                <w:sz w:val="16"/>
              </w:rPr>
              <w:t>99.96%</w:t>
            </w:r>
            <w:r>
              <w:rPr>
                <w:rFonts w:ascii="Times New Roman" w:hAnsi="Times New Roman"/>
                <w:b w:val="0"/>
                <w:i w:val="0"/>
                <w:sz w:val="16"/>
              </w:rPr>
              <w:t xml:space="preserve"> within-firm at all four firms versus </w:t>
            </w:r>
            <w:r>
              <w:rPr>
                <w:rFonts w:ascii="Times New Roman" w:hAnsi="Times New Roman"/>
                <w:b w:val="0"/>
                <w:i w:val="0"/>
                <w:sz w:val="16"/>
              </w:rPr>
              <w:t>76.7</w:t>
            </w:r>
            <w:r>
              <w:rPr>
                <w:rFonts w:ascii="Times New Roman" w:hAnsi="Times New Roman"/>
                <w:b w:val="0"/>
                <w:i w:val="0"/>
                <w:sz w:val="16"/>
              </w:rPr>
              <w:t>–</w:t>
            </w:r>
            <w:r>
              <w:rPr>
                <w:rFonts w:ascii="Times New Roman" w:hAnsi="Times New Roman"/>
                <w:b w:val="0"/>
                <w:i w:val="0"/>
                <w:sz w:val="16"/>
              </w:rPr>
              <w:t>98.8%</w:t>
            </w:r>
            <w:r>
              <w:rPr>
                <w:rFonts w:ascii="Times New Roman" w:hAnsi="Times New Roman"/>
                <w:b w:val="0"/>
                <w:i w:val="0"/>
                <w:sz w:val="16"/>
              </w:rPr>
              <w:t xml:space="preserve"> under any-pair; §III-L.4); per-document per-firm assignment uses Script 45's mode-of-firms tie-break (§IV-M.4)</w:t>
            </w:r>
          </w:p>
        </w:tc>
      </w:tr>
      <w:tr>
        <w:tc>
          <w:tcPr>
            <w:tcW w:type="dxa" w:w="2880"/>
          </w:tcPr>
          <w:p>
            <w:pPr>
              <w:jc w:val="center"/>
            </w:pPr>
            <w:r/>
            <w:r>
              <w:rPr>
                <w:rFonts w:ascii="Times New Roman" w:hAnsi="Times New Roman"/>
                <w:b w:val="0"/>
                <w:i w:val="0"/>
                <w:sz w:val="16"/>
              </w:rPr>
              <w:t>Alert-rate sensitivity sweep (§III-L.5; Script 46)</w:t>
            </w:r>
          </w:p>
        </w:tc>
        <w:tc>
          <w:tcPr>
            <w:tcW w:type="dxa" w:w="2880"/>
          </w:tcPr>
          <w:p>
            <w:pPr>
              <w:jc w:val="center"/>
            </w:pPr>
            <w:r/>
            <w:r>
              <w:rPr>
                <w:rFonts w:ascii="Times New Roman" w:hAnsi="Times New Roman"/>
                <w:b w:val="0"/>
                <w:i w:val="0"/>
                <w:sz w:val="16"/>
              </w:rPr>
              <w:t>Local sensitivity of deployed rule to threshold perturbation</w:t>
            </w:r>
          </w:p>
        </w:tc>
        <w:tc>
          <w:tcPr>
            <w:tcW w:type="dxa" w:w="2880"/>
          </w:tcPr>
          <w:p>
            <w:pPr>
              <w:jc w:val="center"/>
            </w:pPr>
            <w:r/>
            <w:r>
              <w:rPr>
                <w:rFonts w:ascii="Times New Roman" w:hAnsi="Times New Roman"/>
                <w:b w:val="0"/>
                <w:i w:val="0"/>
                <w:sz w:val="16"/>
              </w:rPr>
              <w:t>Gradient comparison is descriptive, not a formal plateau test</w:t>
            </w:r>
          </w:p>
        </w:tc>
      </w:tr>
      <w:tr>
        <w:tc>
          <w:tcPr>
            <w:tcW w:type="dxa" w:w="2880"/>
          </w:tcPr>
          <w:p>
            <w:pPr>
              <w:jc w:val="center"/>
            </w:pPr>
            <w:r/>
            <w:r>
              <w:rPr>
                <w:rFonts w:ascii="Times New Roman" w:hAnsi="Times New Roman"/>
                <w:b w:val="0"/>
                <w:i w:val="0"/>
                <w:sz w:val="16"/>
              </w:rPr>
              <w:t>Convergent score Spearman ranking (§III-K.1; Script 38)</w:t>
            </w:r>
          </w:p>
        </w:tc>
        <w:tc>
          <w:tcPr>
            <w:tcW w:type="dxa" w:w="2880"/>
          </w:tcPr>
          <w:p>
            <w:pPr>
              <w:jc w:val="center"/>
            </w:pPr>
            <w:r/>
            <w:r>
              <w:rPr>
                <w:rFonts w:ascii="Times New Roman" w:hAnsi="Times New Roman"/>
                <w:b w:val="0"/>
                <w:i w:val="0"/>
                <w:sz w:val="16"/>
              </w:rPr>
              <w:t>Internal-consistency of three feature-derived per-CPA scores</w:t>
            </w:r>
          </w:p>
        </w:tc>
        <w:tc>
          <w:tcPr>
            <w:tcW w:type="dxa" w:w="2880"/>
          </w:tcPr>
          <w:p>
            <w:pPr>
              <w:jc w:val="center"/>
            </w:pPr>
            <w:r/>
            <w:r>
              <w:rPr>
                <w:rFonts w:ascii="Times New Roman" w:hAnsi="Times New Roman"/>
                <w:b w:val="0"/>
                <w:i w:val="0"/>
                <w:sz w:val="16"/>
              </w:rPr>
              <w:t>Scores share underlying inputs and are not statistically independent</w:t>
            </w:r>
          </w:p>
        </w:tc>
      </w:tr>
      <w:tr>
        <w:tc>
          <w:tcPr>
            <w:tcW w:type="dxa" w:w="2880"/>
          </w:tcPr>
          <w:p>
            <w:pPr>
              <w:jc w:val="center"/>
            </w:pPr>
            <w:r/>
            <w:r>
              <w:rPr>
                <w:rFonts w:ascii="Times New Roman" w:hAnsi="Times New Roman"/>
                <w:b w:val="0"/>
                <w:i w:val="0"/>
                <w:sz w:val="16"/>
              </w:rPr>
              <w:t>Pixel-identical conservative positive capture (§III-K.4; Script 40)</w:t>
            </w:r>
          </w:p>
        </w:tc>
        <w:tc>
          <w:tcPr>
            <w:tcW w:type="dxa" w:w="2880"/>
          </w:tcPr>
          <w:p>
            <w:pPr>
              <w:jc w:val="center"/>
            </w:pPr>
            <w:r/>
            <w:r>
              <w:rPr>
                <w:rFonts w:ascii="Times New Roman" w:hAnsi="Times New Roman"/>
                <w:b w:val="0"/>
                <w:i w:val="0"/>
                <w:sz w:val="16"/>
              </w:rPr>
              <w:t>Trivial sanity check on the conservative positive anchor</w:t>
            </w:r>
          </w:p>
        </w:tc>
        <w:tc>
          <w:tcPr>
            <w:tcW w:type="dxa" w:w="2880"/>
          </w:tcPr>
          <w:p>
            <w:pPr>
              <w:jc w:val="center"/>
            </w:pPr>
            <w:r/>
            <w:r>
              <w:rPr>
                <w:rFonts w:ascii="Times New Roman" w:hAnsi="Times New Roman"/>
                <w:b w:val="0"/>
                <w:i w:val="0"/>
                <w:sz w:val="16"/>
              </w:rPr>
              <w:t>Anchor is tautologically captured by any reasonable threshold</w:t>
            </w:r>
          </w:p>
        </w:tc>
      </w:tr>
      <w:tr>
        <w:tc>
          <w:tcPr>
            <w:tcW w:type="dxa" w:w="2880"/>
          </w:tcPr>
          <w:p>
            <w:pPr>
              <w:jc w:val="center"/>
            </w:pPr>
            <w:r/>
            <w:r>
              <w:rPr>
                <w:rFonts w:ascii="Times New Roman" w:hAnsi="Times New Roman"/>
                <w:b w:val="0"/>
                <w:i w:val="0"/>
                <w:sz w:val="16"/>
              </w:rPr>
              <w:t>LOOO firm-level reproducibility (§III-K.3; Scripts 36, 37)</w:t>
            </w:r>
          </w:p>
        </w:tc>
        <w:tc>
          <w:tcPr>
            <w:tcW w:type="dxa" w:w="2880"/>
          </w:tcPr>
          <w:p>
            <w:pPr>
              <w:jc w:val="center"/>
            </w:pPr>
            <w:r/>
            <w:r>
              <w:rPr>
                <w:rFonts w:ascii="Times New Roman" w:hAnsi="Times New Roman"/>
                <w:b w:val="0"/>
                <w:i w:val="0"/>
                <w:sz w:val="16"/>
              </w:rPr>
              <w:t>Algorithmic stability of K=2 / K=3 partition across firm folds</w:t>
            </w:r>
          </w:p>
        </w:tc>
        <w:tc>
          <w:tcPr>
            <w:tcW w:type="dxa" w:w="2880"/>
          </w:tcPr>
          <w:p>
            <w:pPr>
              <w:jc w:val="center"/>
            </w:pPr>
            <w:r/>
            <w:r>
              <w:rPr>
                <w:rFonts w:ascii="Times New Roman" w:hAnsi="Times New Roman"/>
                <w:b w:val="0"/>
                <w:i w:val="0"/>
                <w:sz w:val="16"/>
              </w:rPr>
              <w:t>Stability is necessary but not sufficient for classification validity</w:t>
            </w:r>
          </w:p>
        </w:tc>
      </w:tr>
    </w:tbl>
    <w:p/>
    <w:p>
      <w:pPr>
        <w:pStyle w:val="Heading1"/>
      </w:pPr>
      <w:r>
        <w:rPr>
          <w:color w:val="000000"/>
        </w:rPr>
        <w:t>Appendix B. Reproducibility Materials</w:t>
      </w:r>
    </w:p>
    <w:p>
      <w:pPr>
        <w:spacing w:after="120"/>
      </w:pPr>
      <w:r>
        <w:rPr>
          <w:rFonts w:ascii="Times New Roman" w:hAnsi="Times New Roman"/>
          <w:b w:val="0"/>
          <w:i w:val="0"/>
          <w:sz w:val="20"/>
        </w:rPr>
        <w:t>The full table-to-script provenance mapping, script source code, and report artefacts for every numerical table and figure in this paper are provided in the supplementary materials. Scripts run deterministically under fixed random seeds documented there; reviewer reproduction should re-emit artefacts from the listed scripts rather than rely on any local path layout.</w:t>
      </w:r>
    </w:p>
    <w:p>
      <w:pPr>
        <w:pStyle w:val="Heading1"/>
      </w:pPr>
      <w:r>
        <w:rPr>
          <w:color w:val="000000"/>
        </w:rPr>
        <w:t>Declarations</w:t>
      </w:r>
    </w:p>
    <w:p>
      <w:pPr>
        <w:spacing w:after="120"/>
      </w:pPr>
      <w:r>
        <w:rPr>
          <w:rFonts w:ascii="Times New Roman" w:hAnsi="Times New Roman"/>
          <w:b w:val="0"/>
          <w:i w:val="0"/>
          <w:sz w:val="20"/>
        </w:rPr>
        <w:t>Conflict of interest. The authors declare no conflict of interest with Firm A, Firm B, Firm C, or Firm D, or with any other entity referenced in this work.</w:t>
      </w:r>
    </w:p>
    <w:p>
      <w:pPr>
        <w:spacing w:after="120"/>
      </w:pPr>
      <w:r>
        <w:rPr>
          <w:rFonts w:ascii="Times New Roman" w:hAnsi="Times New Roman"/>
          <w:b w:val="0"/>
          <w:i w:val="0"/>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pStyle w:val="Heading1"/>
      </w:pPr>
      <w:r>
        <w:rPr>
          <w:color w:val="000000"/>
        </w:rPr>
        <w:t>References</w:t>
      </w:r>
    </w:p>
    <w:p>
      <w:pPr>
        <w:spacing w:after="120"/>
      </w:pPr>
      <w:r>
        <w:rPr>
          <w:rFonts w:ascii="Times New Roman" w:hAnsi="Times New Roman"/>
          <w:b w:val="0"/>
          <w:i w:val="0"/>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b w:val="0"/>
          <w:i w:val="0"/>
          <w:sz w:val="20"/>
        </w:rPr>
        <w:t>[2] S.-H. Yen, Y.-S. Chang, and H.-L. Chen, "Does the signature of a CPA matter? Evidence from Taiwan," Res. Account. Regul., vol. 25, no. 2, pp. 230–235, 2013.</w:t>
      </w:r>
    </w:p>
    <w:p>
      <w:pPr>
        <w:spacing w:after="120"/>
      </w:pPr>
      <w:r>
        <w:rPr>
          <w:rFonts w:ascii="Times New Roman" w:hAnsi="Times New Roman"/>
          <w:b w:val="0"/>
          <w:i w:val="0"/>
          <w:sz w:val="20"/>
        </w:rPr>
        <w:t>[3] J. Bromley et al., "Signature verification using a Siamese time delay neural network," in Proc. NeurIPS, 1993.</w:t>
      </w:r>
    </w:p>
    <w:p>
      <w:pPr>
        <w:spacing w:after="120"/>
      </w:pPr>
      <w:r>
        <w:rPr>
          <w:rFonts w:ascii="Times New Roman" w:hAnsi="Times New Roman"/>
          <w:b w:val="0"/>
          <w:i w:val="0"/>
          <w:sz w:val="20"/>
        </w:rPr>
        <w:t>[4] S. Dey et al., "SigNet: Convolutional Siamese network for writer independent offline signature verification," arXiv:1707.02131, 2017.</w:t>
      </w:r>
    </w:p>
    <w:p>
      <w:pPr>
        <w:spacing w:after="120"/>
      </w:pPr>
      <w:r>
        <w:rPr>
          <w:rFonts w:ascii="Times New Roman" w:hAnsi="Times New Roman"/>
          <w:b w:val="0"/>
          <w:i w:val="0"/>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b w:val="0"/>
          <w:i w:val="0"/>
          <w:sz w:val="20"/>
        </w:rPr>
        <w:t>[6] H. Li et al., "TransOSV: Offline signature verification with transformers," Pattern Recognit., vol. 145, p. 109882, 2024.</w:t>
      </w:r>
    </w:p>
    <w:p>
      <w:pPr>
        <w:spacing w:after="120"/>
      </w:pPr>
      <w:r>
        <w:rPr>
          <w:rFonts w:ascii="Times New Roman" w:hAnsi="Times New Roman"/>
          <w:b w:val="0"/>
          <w:i w:val="0"/>
          <w:sz w:val="20"/>
        </w:rPr>
        <w:t>[7] S. Tehsin et al., "Enhancing signature verification using triplet Siamese similarity networks in digital documents," Mathematics, vol. 12, no. 17, p. 2757, 2024.</w:t>
      </w:r>
    </w:p>
    <w:p>
      <w:pPr>
        <w:spacing w:after="120"/>
      </w:pPr>
      <w:r>
        <w:rPr>
          <w:rFonts w:ascii="Times New Roman" w:hAnsi="Times New Roman"/>
          <w:b w:val="0"/>
          <w:i w:val="0"/>
          <w:sz w:val="20"/>
        </w:rPr>
        <w:t>[8] P. Brimoh and C. C. Olisah, "Consensus-threshold criterion for offline signature verification using CNN learned representations," arXiv:2401.03085, 2024.</w:t>
      </w:r>
    </w:p>
    <w:p>
      <w:pPr>
        <w:spacing w:after="120"/>
      </w:pPr>
      <w:r>
        <w:rPr>
          <w:rFonts w:ascii="Times New Roman" w:hAnsi="Times New Roman"/>
          <w:b w:val="0"/>
          <w:i w:val="0"/>
          <w:sz w:val="20"/>
        </w:rPr>
        <w:t>[9] N. Woodruff et al., "Fully-automatic pipeline for document signature analysis to detect money laundering activities," arXiv:2107.14091, 2021.</w:t>
      </w:r>
    </w:p>
    <w:p>
      <w:pPr>
        <w:spacing w:after="120"/>
      </w:pPr>
      <w:r>
        <w:rPr>
          <w:rFonts w:ascii="Times New Roman" w:hAnsi="Times New Roman"/>
          <w:b w:val="0"/>
          <w:i w:val="0"/>
          <w:sz w:val="20"/>
        </w:rPr>
        <w:t>[10] S. Abramova and R. Böhme, "Detecting copy-move forgeries in scanned text documents," in Proc. Electronic Imaging, 2016.</w:t>
      </w:r>
    </w:p>
    <w:p>
      <w:pPr>
        <w:spacing w:after="120"/>
      </w:pPr>
      <w:r>
        <w:rPr>
          <w:rFonts w:ascii="Times New Roman" w:hAnsi="Times New Roman"/>
          <w:b w:val="0"/>
          <w:i w:val="0"/>
          <w:sz w:val="20"/>
        </w:rPr>
        <w:t>[11] Y. Li et al., "Copy-move forgery detection in digital image forensics: A survey," Multimedia Tools Appl., 2024.</w:t>
      </w:r>
    </w:p>
    <w:p>
      <w:pPr>
        <w:spacing w:after="120"/>
      </w:pPr>
      <w:r>
        <w:rPr>
          <w:rFonts w:ascii="Times New Roman" w:hAnsi="Times New Roman"/>
          <w:b w:val="0"/>
          <w:i w:val="0"/>
          <w:sz w:val="20"/>
        </w:rPr>
        <w:t>[12] Y. Jakhar and M. D. Borah, "Effective near-duplicate image detection using perceptual hashing and deep learning," Inf. Process. Manage., p. 104086, 2025.</w:t>
      </w:r>
    </w:p>
    <w:p>
      <w:pPr>
        <w:spacing w:after="120"/>
      </w:pPr>
      <w:r>
        <w:rPr>
          <w:rFonts w:ascii="Times New Roman" w:hAnsi="Times New Roman"/>
          <w:b w:val="0"/>
          <w:i w:val="0"/>
          <w:sz w:val="20"/>
        </w:rPr>
        <w:t>[13] E. Pizzi et al., "A self-supervised descriptor for image copy detection," in Proc. CVPR, 2022.</w:t>
      </w:r>
    </w:p>
    <w:p>
      <w:pPr>
        <w:spacing w:after="120"/>
      </w:pPr>
      <w:r>
        <w:rPr>
          <w:rFonts w:ascii="Times New Roman" w:hAnsi="Times New Roman"/>
          <w:b w:val="0"/>
          <w:i w:val="0"/>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b w:val="0"/>
          <w:i w:val="0"/>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b w:val="0"/>
          <w:i w:val="0"/>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b w:val="0"/>
          <w:i w:val="0"/>
          <w:sz w:val="20"/>
        </w:rPr>
        <w:t>[17] H. Farid, "Image forgery detection," IEEE Signal Process. Mag., vol. 26, no. 2, pp. 16–25, 2009.</w:t>
      </w:r>
    </w:p>
    <w:p>
      <w:pPr>
        <w:spacing w:after="120"/>
      </w:pPr>
      <w:r>
        <w:rPr>
          <w:rFonts w:ascii="Times New Roman" w:hAnsi="Times New Roman"/>
          <w:b w:val="0"/>
          <w:i w:val="0"/>
          <w:sz w:val="20"/>
        </w:rPr>
        <w:t>[18] F. Z. Mehrjardi, A. M. Latif, M. S. Zarchi, and R. Sheikhpour, "A survey on deep learning-based image forgery detection," Pattern Recognit., vol. 144, art. no. 109778, 2023.</w:t>
      </w:r>
    </w:p>
    <w:p>
      <w:pPr>
        <w:spacing w:after="120"/>
      </w:pPr>
      <w:r>
        <w:rPr>
          <w:rFonts w:ascii="Times New Roman" w:hAnsi="Times New Roman"/>
          <w:b w:val="0"/>
          <w:i w:val="0"/>
          <w:sz w:val="20"/>
        </w:rPr>
        <w:t>[19] J. Luo et al., "A survey of perceptual hashing for multimedia," ACM Trans. Multimedia Comput. Commun. Appl., vol. 21, no. 7, 2025.</w:t>
      </w:r>
    </w:p>
    <w:p>
      <w:pPr>
        <w:spacing w:after="120"/>
      </w:pPr>
      <w:r>
        <w:rPr>
          <w:rFonts w:ascii="Times New Roman" w:hAnsi="Times New Roman"/>
          <w:b w:val="0"/>
          <w:i w:val="0"/>
          <w:sz w:val="20"/>
        </w:rPr>
        <w:t>[20] D. Engin et al., "Offline signature verification on real-world documents," in Proc. CVPRW, 2020.</w:t>
      </w:r>
    </w:p>
    <w:p>
      <w:pPr>
        <w:spacing w:after="120"/>
      </w:pPr>
      <w:r>
        <w:rPr>
          <w:rFonts w:ascii="Times New Roman" w:hAnsi="Times New Roman"/>
          <w:b w:val="0"/>
          <w:i w:val="0"/>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b w:val="0"/>
          <w:i w:val="0"/>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b w:val="0"/>
          <w:i w:val="0"/>
          <w:sz w:val="20"/>
        </w:rPr>
        <w:t>[23] A. Babenko, A. Slesarev, A. Chigorin, and V. Lempitsky, "Neural codes for image retrieval," in Proc. ECCV, 2014, pp. 584–599.</w:t>
      </w:r>
    </w:p>
    <w:p>
      <w:pPr>
        <w:spacing w:after="120"/>
      </w:pPr>
      <w:r>
        <w:rPr>
          <w:rFonts w:ascii="Times New Roman" w:hAnsi="Times New Roman"/>
          <w:b w:val="0"/>
          <w:i w:val="0"/>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b w:val="0"/>
          <w:i w:val="0"/>
          <w:sz w:val="20"/>
        </w:rPr>
        <w:t>[25] Ultralytics, "YOLO11 documentation," 2024. [Online]. Available: https://docs.ultralytics.com/models/yolo11/</w:t>
      </w:r>
    </w:p>
    <w:p>
      <w:pPr>
        <w:spacing w:after="120"/>
      </w:pPr>
      <w:r>
        <w:rPr>
          <w:rFonts w:ascii="Times New Roman" w:hAnsi="Times New Roman"/>
          <w:b w:val="0"/>
          <w:i w:val="0"/>
          <w:sz w:val="20"/>
        </w:rPr>
        <w:t>[26] K. He, X. Zhang, S. Ren, and J. Sun, "Deep residual learning for image recognition," in Proc. CVPR, 2016.</w:t>
      </w:r>
    </w:p>
    <w:p>
      <w:pPr>
        <w:spacing w:after="120"/>
      </w:pPr>
      <w:r>
        <w:rPr>
          <w:rFonts w:ascii="Times New Roman" w:hAnsi="Times New Roman"/>
          <w:b w:val="0"/>
          <w:i w:val="0"/>
          <w:sz w:val="20"/>
        </w:rPr>
        <w:t>[27] N. Krawetz, "Kind of like that," The Hacker Factor Blog, 2013. [Online]. Available: https://www.hackerfactor.com/blog/index.php?/archives/529-Kind-of-Like-That.html</w:t>
      </w:r>
    </w:p>
    <w:p>
      <w:pPr>
        <w:spacing w:after="120"/>
      </w:pPr>
      <w:r>
        <w:rPr>
          <w:rFonts w:ascii="Times New Roman" w:hAnsi="Times New Roman"/>
          <w:b w:val="0"/>
          <w:i w:val="0"/>
          <w:sz w:val="20"/>
        </w:rPr>
        <w:t>[28] B. W. Silverman, Density Estimation for Statistics and Data Analysis. London: Chapman &amp; Hall, 1986.</w:t>
      </w:r>
    </w:p>
    <w:p>
      <w:pPr>
        <w:spacing w:after="120"/>
      </w:pPr>
      <w:r>
        <w:rPr>
          <w:rFonts w:ascii="Times New Roman" w:hAnsi="Times New Roman"/>
          <w:b w:val="0"/>
          <w:i w:val="0"/>
          <w:sz w:val="20"/>
        </w:rPr>
        <w:t>[29] J. Cohen, Statistical Power Analysis for the Behavioral Sciences, 2nd ed. Hillsdale, NJ: Lawrence Erlbaum, 1988.</w:t>
      </w:r>
    </w:p>
    <w:p>
      <w:pPr>
        <w:spacing w:after="120"/>
      </w:pPr>
      <w:r>
        <w:rPr>
          <w:rFonts w:ascii="Times New Roman" w:hAnsi="Times New Roman"/>
          <w:b w:val="0"/>
          <w:i w:val="0"/>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b w:val="0"/>
          <w:i w:val="0"/>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b w:val="0"/>
          <w:i w:val="0"/>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b w:val="0"/>
          <w:i w:val="0"/>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b w:val="0"/>
          <w:i w:val="0"/>
          <w:sz w:val="20"/>
        </w:rPr>
        <w:t>[34] J. Redmon, S. Divvala, R. Girshick, and A. Farhadi, "You only look once: Unified, real-time object detection," in Proc. CVPR, 2016, pp. 779–788.</w:t>
      </w:r>
    </w:p>
    <w:p>
      <w:pPr>
        <w:spacing w:after="120"/>
      </w:pPr>
      <w:r>
        <w:rPr>
          <w:rFonts w:ascii="Times New Roman" w:hAnsi="Times New Roman"/>
          <w:b w:val="0"/>
          <w:i w:val="0"/>
          <w:sz w:val="20"/>
        </w:rPr>
        <w:t>[35] J. Zhang, J. Huang, S. Jin, and S. Lu, "Vision-language models for vision tasks: A survey," IEEE Trans. Pattern Anal. Mach. Intell., vol. 46, no. 8, pp. 5625–5644, 2024.</w:t>
      </w:r>
    </w:p>
    <w:p>
      <w:pPr>
        <w:spacing w:after="120"/>
      </w:pPr>
      <w:r>
        <w:rPr>
          <w:rFonts w:ascii="Times New Roman" w:hAnsi="Times New Roman"/>
          <w:b w:val="0"/>
          <w:i w:val="0"/>
          <w:sz w:val="20"/>
        </w:rPr>
        <w:t>[36] H. B. Mann and D. R. Whitney, "On a test of whether one of two random variables is stochastically larger than the other," Ann. Math. Statist., vol. 18, no. 1, pp. 50–60, 1947.</w:t>
      </w:r>
    </w:p>
    <w:p>
      <w:pPr>
        <w:spacing w:after="120"/>
      </w:pPr>
      <w:r>
        <w:rPr>
          <w:rFonts w:ascii="Times New Roman" w:hAnsi="Times New Roman"/>
          <w:b w:val="0"/>
          <w:i w:val="0"/>
          <w:sz w:val="20"/>
        </w:rPr>
        <w:t>[37] J. A. Hartigan and P. M. Hartigan, "The dip test of unimodality," Ann. Statist., vol. 13, no. 1, pp. 70–84, 1985.</w:t>
      </w:r>
    </w:p>
    <w:p>
      <w:pPr>
        <w:spacing w:after="120"/>
      </w:pPr>
      <w:r>
        <w:rPr>
          <w:rFonts w:ascii="Times New Roman" w:hAnsi="Times New Roman"/>
          <w:b w:val="0"/>
          <w:i w:val="0"/>
          <w:sz w:val="20"/>
        </w:rPr>
        <w:t>[38] D. Burgstahler and I. Dichev, "Earnings management to avoid earnings decreases and losses," J. Account. Econ., vol. 24, no. 1, pp. 99–126, 1997.</w:t>
      </w:r>
    </w:p>
    <w:p>
      <w:pPr>
        <w:spacing w:after="120"/>
      </w:pPr>
      <w:r>
        <w:rPr>
          <w:rFonts w:ascii="Times New Roman" w:hAnsi="Times New Roman"/>
          <w:b w:val="0"/>
          <w:i w:val="0"/>
          <w:sz w:val="20"/>
        </w:rPr>
        <w:t>[39] J. McCrary, "Manipulation of the running variable in the regression discontinuity design: A density test," J. Econometrics, vol. 142, no. 2, pp. 698–714, 2008.</w:t>
      </w:r>
    </w:p>
    <w:p>
      <w:pPr>
        <w:spacing w:after="120"/>
      </w:pPr>
      <w:r>
        <w:rPr>
          <w:rFonts w:ascii="Times New Roman" w:hAnsi="Times New Roman"/>
          <w:b w:val="0"/>
          <w:i w:val="0"/>
          <w:sz w:val="20"/>
        </w:rPr>
        <w:t>[40] A. P. Dempster, N. M. Laird, and D. B. Rubin, "Maximum likelihood from incomplete data via the EM algorithm," J. R. Statist. Soc. B, vol. 39, no. 1, pp. 1–38, 1977.</w:t>
      </w:r>
    </w:p>
    <w:p>
      <w:pPr>
        <w:spacing w:after="120"/>
      </w:pPr>
      <w:r>
        <w:rPr>
          <w:rFonts w:ascii="Times New Roman" w:hAnsi="Times New Roman"/>
          <w:b w:val="0"/>
          <w:i w:val="0"/>
          <w:sz w:val="20"/>
        </w:rPr>
        <w:t>[41] H. White, "Maximum likelihood estimation of misspecified models," Econometrica, vol. 50, no. 1, pp. 1–25, 1982.</w:t>
      </w:r>
    </w:p>
    <w:p>
      <w:pPr>
        <w:spacing w:after="120"/>
      </w:pPr>
      <w:r>
        <w:rPr>
          <w:rFonts w:ascii="Times New Roman" w:hAnsi="Times New Roman"/>
          <w:b w:val="0"/>
          <w:i w:val="0"/>
          <w:sz w:val="20"/>
        </w:rPr>
        <w:t>[42] M. Stone, "Cross-validatory choice and assessment of statistical predictions," J. R. Statist. Soc. B, vol. 36, no. 2, pp. 111–147, 1974.</w:t>
      </w:r>
    </w:p>
    <w:p>
      <w:pPr>
        <w:spacing w:after="120"/>
      </w:pPr>
      <w:r>
        <w:rPr>
          <w:rFonts w:ascii="Times New Roman" w:hAnsi="Times New Roman"/>
          <w:b w:val="0"/>
          <w:i w:val="0"/>
          <w:sz w:val="20"/>
        </w:rPr>
        <w:t>[43] S. Geisser, "The predictive sample reuse method with applications," J. Amer. Statist. Assoc., vol. 70, no. 350, pp. 320–328, 1975.</w:t>
      </w:r>
    </w:p>
    <w:p>
      <w:pPr>
        <w:spacing w:after="120"/>
      </w:pPr>
      <w:r>
        <w:rPr>
          <w:rFonts w:ascii="Times New Roman" w:hAnsi="Times New Roman"/>
          <w:b w:val="0"/>
          <w:i w:val="0"/>
          <w:sz w:val="20"/>
        </w:rPr>
        <w:t>[44] A. Vehtari, A. Gelman, and J. Gabry, "Practical Bayesian model evaluation using leave-one-out cross-validation and WAIC," Stat. Comput., vol. 27, no. 5, pp. 1413–1432,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