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was selected as a candidate calibration reference based on practitioner-knowledge motivation; its benchmark status is then evaluated using the image evidence reported in this paper, not asserted by the practitioner-knowledge motivation itself.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known-majority-positive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known-majority-positive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deliberately within-year aggregation that avoids cross-year pooling.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Practitioner knowledge motivated treating Firm A as a candidate calibration reference: the firm is understood within the audit profession to reproduce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is non-load-bearing in our analysis: the evidentiary basis used in this paper is the observable image evidence reported below—byte-identical same-CPA pairs, the Firm A per-signature similarity distribution, partner-ranking concentration, and intra-report consistency—which does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reproduced by signature_analysis/28_byte_identity_decomposition.py with output in reports/byte_identity_decomp/byte_identity_decomposition.json)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fails to reject unimodality (Hartigan dip test $p = 0.17$, $N = 60{,}448$ Firm A signatures; Section IV-D) and exhibits a long left tail, consistent with a dominant high-similarity regime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known-majority-positive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nearby rounded sensitivity cut $0.945$ (motivated by the calibration-fold P5 = 0.9407, see Section IV-F.2) shifts whole-Firm-A dual-rule capture by 1.19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fails to reject unimodality ($p = 0.17$),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As the gold-negative anchor we sample 50,000 random cross-CPA signature pairs (inter-CPA cosine: mean $= 0.762$, $P_{95} = 0.884$, $P_{99} = 0.913$, max $= 0.988$).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CPAs whose signatures could not be matched to a single assigned-accountant record because of disambiguation ties in the CPA registry and which we therefore exclude from both folds; this handling is made explicit here.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carry only a single detected signature, for which no same-CPA pairwise comparison and therefore no best-match cosine / min dHash statistic is available; those documents are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the 65,515 non-Firm-A signatures with per-signature best-match cosine $&gt; 0.95$, 42.12% have $\text{dHash}_\text{indep} \leq 5$, compared to 88.32% of the 55,921 Firm A signatures meeting the same cosine condition—a $\sim 2.1\times$ difference that the structural-verification layer makes visible. The Firm A denominator here (55,921) differs by a single signature from Table IX's cosine-only count (55,922) because the two artifacts were materialized from successive snapshots of the underlying database: Table IX is rendered from validation_recalibration.json produced earlier in the analysis pipeline, while the cross-firm decomposition is rendered from byte_identity_decomposition.json produced more recently after a downstream feature recomputation that shifted exactly one borderline Firm A signature from cos &gt; 0.95 to cos = 0.95... at floating-point precision. The one-record drift does not affect any reported rate to two decimal places; we retain both values to make the snapshot provenance explicit. This cross-firm gap is consistent with firm-wide non-hand-signing practice at Firm A versus partner-specific or per-engagement replication at other firms; it complements the partner-level ranking (Section IV-G.2) and intra-report consistency (Section IV-G.3) findings. Counts and percentages are reproduced by signature_analysis/28_byte_identity_decomposition.py and reported in reports/byte_identity_decomp/byte_identity_decomposition.json (see Appendix B for the table-to-script provenance map).</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dominant high-similarity regime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sz w:val="20"/>
        </w:rPr>
        <w:t>For reproducibility, the following table maps each numerical table in Section IV to the analysis script that produces its underlying values and to the report file emitted by that script. Scripts are under signature_analysis/. Report artifact paths below are listed relative to the project's analysis report root, which is /Volumes/NV2/PDF-Processing/signature-analysis/ in our local deployment; replicators should rebase the paths to whatever report root they configure when invoking the scripts.</w:t>
      </w:r>
    </w:p>
    <w:p>
      <w:pPr>
        <w:spacing w:after="120"/>
      </w:pPr>
      <w:r>
        <w:rPr>
          <w:rFonts w:ascii="Times New Roman" w:hAnsi="Times New Roman"/>
          <w:sz w:val="20"/>
        </w:rPr>
        <w:t>The table-to-script mapping above is intended as a navigation aid for replicators. All scripts run deterministically under the fixed random seeds documented in the supplementary materials; the artifact paths above were verified against the local deployment at the time of submission, and any reviewer reproduction step should re-emit the artifacts from the listed scripts rather than depend on the absolute path layout.</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