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sz w:val="20"/>
        </w:rPr>
        <w:t>Regulations require Certified Public Accountants (CPAs) to attest to each audit report by affixing a signature, but digitization makes reusing a stored signature image across reports—through administrative stamping or firm-level electronic signing—technically trivial and visually invisible to report users, undermining individualized attestation. We build an end-to-end pipeline that detects such non-hand-signed signatures at scale: a Vision-Language Model identifies signature pages, a YOLOv11 detector localizes signature regions, ResNet-50 supplies deep features, and a dual-descriptor verification layer combines deep-feature cosine similarity with perceptual hashing (difference hash, dHash) to separate style consistency (high cosine, divergent dHash) from image reproduction (high cosine, low dHash). The operational classifier outputs a five-way verdict per signature with a worst-case document-level aggregation; the cosine cut is anchored on a transparent whole-sample Firm A P7.5 percentile (cos $&gt; 0.95$), and the dHash cuts on the same reference. Applied to 90,282 audit reports filed in Taiwan over 2013-2023 (182,328 signatures from 758 CPAs), the operational dual rule cos $&gt; 0.95$ AND $\text{dHash}_\text{indep} \leq 8$ captures 89.95\% of Firm A and yields FAR $\leq$ 0.001 against a $\sim$50,000-pair inter-CPA negative anchor; intra-report agreement is 89.9\% at Firm A versus 62-67\% at the other Big-4 firms (a 23-28 percentage-point cross-firm gap). Validation uses three annotation-free anchors (310 byte-identical positives, $\sim$50,000 inter-CPA negatives, and a 70/30 held-out Firm A fold) reported with Wilson 95\% intervals. Three statistical diagnostics applied to the per-signature similarity distribution (Hartigan dip test, EM-fitted Beta mixture with logit-Gaussian robustness check, Burgstahler-Dichev / McCrary density-smoothness procedure) jointly characterise the distribution as a continuous quality spectrum, which motivates the percentile-based anchor and is itself a substantive finding for similarity-threshold selection in document forensics.</w:t>
      </w:r>
    </w:p>
    <w:p>
      <w:pPr>
        <w:pStyle w:val="Heading1"/>
      </w:pPr>
      <w:r>
        <w:rPr>
          <w:color w:val="000000"/>
        </w:rPr>
        <w:t>I. Introduction</w:t>
      </w:r>
    </w:p>
    <w:p>
      <w:pPr>
        <w:spacing w:after="120"/>
      </w:pPr>
      <w:r>
        <w:rPr>
          <w:rFonts w:ascii="Times New Roman" w:hAnsi="Times New Roman"/>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workflow—in which scanned signature images are affixed by staff as part of the report-assembly process—or through a firm-level electronic signing system that automates the same step. From the perspective of the output image the two workflows are equivalent: both yield a pixel-level reproduction of a single stored image on every report the partner signs off, so that signatures on different reports of the same partner are identical up to reproduction noise.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long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This practice, while potentially widespread, is visually invisible to report users and virtually undetectable through manual inspection at scale: regulatory agencies overseeing thousands of publicly listed companies cannot feasibly examine each signature for evidence of image reproduction.</w:t>
      </w:r>
    </w:p>
    <w:p>
      <w:pPr>
        <w:spacing w:after="120"/>
      </w:pPr>
      <w:r>
        <w:rPr>
          <w:rFonts w:ascii="Times New Roman" w:hAnsi="Times New Roman"/>
          <w:sz w:val="20"/>
        </w:rPr>
        <w:t>The distinction between non-hand-signing detection and signature forgery detection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 requiring an analytical framework focused on detecting abnormally high similarity across documents.</w:t>
      </w:r>
    </w:p>
    <w:p>
      <w:pPr>
        <w:spacing w:after="120"/>
      </w:pPr>
      <w:r>
        <w:rPr>
          <w:rFonts w:ascii="Times New Roman" w:hAnsi="Times New Roman"/>
          <w:sz w:val="20"/>
        </w:rPr>
        <w:t>A secondary methodological concern shapes the research design. Many prior similarity-based classification studies rely on ad-hoc thresholds—declaring two images equivalent above a hand-picked cosine cutoff, for example—without principled statistical justification. Such thresholds are fragile and invite reviewer skepticism, particularly in an archival-data setting where the cost of misclassification propagates into downstream inference. A defensible approach requires (i) a transparent threshold anchored to an empirical reference population drawn from the target corpus; (ii) statistical diagnostics that characterise the shape of the underlying similarity distribution and so motivate the choice of anchor; and (iii) external validation against naturally-occurring anchor populations—byte-level identical pairs as a conservative gold positive subset and large random inter-CPA pairs as a gold negative population—reported with Wilson 95% confidence intervals on per-rule capture / FAR rates, since precision and $F_1$ are not meaningful when the positive and negative anchor populations are sampled from different units.</w:t>
      </w:r>
    </w:p>
    <w:p>
      <w:pPr>
        <w:spacing w:after="120"/>
      </w:pPr>
      <w:r>
        <w:rPr>
          <w:rFonts w:ascii="Times New Roman" w:hAnsi="Times New Roman"/>
          <w:sz w:val="20"/>
        </w:rPr>
        <w:t>Despite the significance of the problem for audit quality and regulatory oversight,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(grouping signatures by signer identity) rather than detecting reuse of a stored image.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image reproduction.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characterisation—the Hartigan dip test [37] and finite mixture modelling via the EM algorithm [40], [41], complemented by a Burgstahler-Dichev / McCrary density-smoothness diagnostic [38], [39]—have been developed in statistics and accounting-econometrics but have not, to our knowledge, been combined as a joint diagnostic toolkit for document-forensics threshold selection.</w:t>
      </w:r>
    </w:p>
    <w:p>
      <w:pPr>
        <w:spacing w:after="120"/>
      </w:pPr>
      <w:r>
        <w:rPr>
          <w:rFonts w:ascii="Times New Roman" w:hAnsi="Times New Roman"/>
          <w:sz w:val="20"/>
        </w:rPr>
        <w:t>In this paper, we present a fully automated, end-to-end pipeline for detecting non-hand-signed CPA signatures in audit reports at scale. Our approach processes raw PDF documents through the following stages: (1) signature page identification using a Vision-Language Model (VLM); (2) signature region detection using a trained YOLOv11 object detector; (3) deep feature extraction via a pre-trained ResNet-50 convolutional neural network; (4) dual-descriptor similarity computation combining cosine similarity on deep embeddings with difference hash (dHash) distance; (5) signature-level distributional characterisation using two threshold estimators—KDE antimode with a Hartigan unimodality test and finite Beta mixture via EM with a logit-Gaussian robustness check—complemented by a Burgstahler-Dichev / McCrary density-smoothness diagnostic, used to read the structure of the per-signature similarity distribution and to motivate a percentile-based operational anchor rather than a mixture-fit crossing; and (6) validation against a pixel-identical anchor, a low-similarity anchor, and a replication-dominated Big-4 calibration firm.</w:t>
      </w:r>
    </w:p>
    <w:p>
      <w:pPr>
        <w:spacing w:after="120"/>
      </w:pPr>
      <w:r>
        <w:rPr>
          <w:rFonts w:ascii="Times New Roman" w:hAnsi="Times New Roman"/>
          <w:sz w:val="20"/>
        </w:rPr>
        <w:t>The dual-descriptor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whose signature is reproduced from a stored image. Perceptual hashing (specifically, difference hashing) encodes structural-level image gradients into compact binary fingerprints that are robust to scan noise but sensitive to substantive content differences. By requiring convergent evidence from both descriptors, we can differentiate style consistency (high cosine but divergent dHash) from image reproduction (high cosine with low dHash), resolving an ambiguity that neither descriptor can address alone.</w:t>
      </w:r>
    </w:p>
    <w:p>
      <w:pPr>
        <w:spacing w:after="120"/>
      </w:pPr>
      <w:r>
        <w:rPr>
          <w:rFonts w:ascii="Times New Roman" w:hAnsi="Times New Roman"/>
          <w:sz w:val="20"/>
        </w:rPr>
        <w:t>A second distinctive feature is our framing of the calibration reference. One major Big-4 accounting firm in Taiwan (hereafter "Firm A") is widely recognized within the audit profession as making substantial use of non-hand-signing for the majority of its certifying partners, while not ruling out that a minority may continue to hand-sign some reports. We therefore treat Firm A as a replication-dominated calibration reference rather than a pure positive class. This framing is important because the statistical signature of a replication-dominated population is visible in our data: Firm A's per-signature cosine distribution is unimodal with a long left tail (Hartigan dip $p = 0.17$), 92.5% of Firm A signatures exceed cosine 0.95 with the remaining 7.5% forming the left tail, and 145 Firm A signatures across 50 distinct partners are byte-identical to a same-CPA match in a different audit report (35 spanning different fiscal years). Adopting the replication-dominated framing—rather than a near-universal framing that would have to absorb the 7.5% residual as noise—ensures internal coherence between the byte-level pixel-identity evidence and the signature-level distributional shape.</w:t>
      </w:r>
    </w:p>
    <w:p>
      <w:pPr>
        <w:spacing w:after="120"/>
      </w:pPr>
      <w:r>
        <w:rPr>
          <w:rFonts w:ascii="Times New Roman" w:hAnsi="Times New Roman"/>
          <w:sz w:val="20"/>
        </w:rPr>
        <w:t>A third distinctive feature is the empirical reading we take from the per-signature distributional analysis. Three diagnostics applied to the per-signature similarity distribution—the Hartigan dip test, an EM-fitted Beta mixture (with logit-Gaussian robustness check), and the Burgstahler-Dichev / McCrary density-smoothness procedure—jointly indicate that no two-mechanism mixture cleanly explains per-signature similarity: the dip test fails to reject unimodality for Firm A, BIC strongly prefers a 3-component over a 2-component Beta fit, and the BD/McCrary candidate transition lies inside the non-hand-signed mode rather than between modes (and is not bin-width-stable; Appendix A). The substantive reading is that pixel-level output quality is a continuous spectrum shaped by firm-specific reproduction technologies (administrative stamping in early years, firm-level e-signing later) and scan conditions, rather than a discrete class cleanly separated from hand-signing. This reading motivates anchoring the operational classifier on a percentile heuristic over the Firm A reference distribution rather than on a mixture-fit crossing, and it motivates the byte-level pixel-identity anchor (Section IV-F.1) as a threshold-free positive reference that does not depend on resolving signature-level mixture structure.</w:t>
      </w:r>
    </w:p>
    <w:p>
      <w:pPr>
        <w:spacing w:after="120"/>
      </w:pPr>
      <w:r>
        <w:rPr>
          <w:rFonts w:ascii="Times New Roman" w:hAnsi="Times New Roman"/>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120"/>
      </w:pPr>
      <w:r>
        <w:rPr>
          <w:rFonts w:ascii="Times New Roman" w:hAnsi="Times New Roman"/>
          <w:sz w:val="20"/>
        </w:rPr>
        <w:t>The contributions of this paper are summarized as follows:</w:t>
      </w:r>
    </w:p>
    <w:p>
      <w:pPr>
        <w:pStyle w:val="ListNumber"/>
      </w:pPr>
      <w:r>
        <w:rPr>
          <w:rFonts w:ascii="Times New Roman" w:hAnsi="Times New Roman"/>
          <w:sz w:val="20"/>
        </w:rPr>
        <w:t>Problem formulation. We formally define non-hand-signing detection as distinct from signature forgery detection and argue that it requires an analytical framework focused on intra-signer similarity distributions rather than genuine-versus-forged classification.</w:t>
      </w:r>
    </w:p>
    <w:p>
      <w:pPr>
        <w:pStyle w:val="ListNumber"/>
      </w:pPr>
      <w:r>
        <w:rPr>
          <w:rFonts w:ascii="Times New Roman" w:hAnsi="Times New Roman"/>
          <w:sz w:val="20"/>
        </w:rPr>
        <w:t>End-to-end pipeline. We present a pipeline that processes raw PDF audit reports through VLM-based page identification, YOLO-based signature detection, deep feature extraction, and dual-descriptor similarity computation, with automated inference requiring no manual intervention after initial training and annotation.</w:t>
      </w:r>
    </w:p>
    <w:p>
      <w:pPr>
        <w:pStyle w:val="ListNumber"/>
      </w:pPr>
      <w:r>
        <w:rPr>
          <w:rFonts w:ascii="Times New Roman" w:hAnsi="Times New Roman"/>
          <w:sz w:val="20"/>
        </w:rPr>
        <w:t>Dual-descriptor verification. We demonstrate that combining deep-feature cosine similarity with perceptual hashing resolves the fundamental ambiguity between style consistency and image reproduction, and we validate the backbone choice through an ablation study comparing three feature-extraction architectures.</w:t>
      </w:r>
    </w:p>
    <w:p>
      <w:pPr>
        <w:pStyle w:val="ListNumber"/>
      </w:pPr>
      <w:r>
        <w:rPr>
          <w:rFonts w:ascii="Times New Roman" w:hAnsi="Times New Roman"/>
          <w:sz w:val="20"/>
        </w:rPr>
        <w:t>Percentile-anchored operational threshold. We anchor the operational classifier's cosine cut on the whole-sample Firm A P7.5 percentile (cos $&gt; 0.95$), a transparent and reproducible reference drawn from a known-majority-positive population, and complement it with dHash structural cuts derived from the same reference distribution. Operational thresholds are therefore explained by an empirical reference rather than asserted.</w:t>
      </w:r>
    </w:p>
    <w:p>
      <w:pPr>
        <w:pStyle w:val="ListNumber"/>
      </w:pPr>
      <w:r>
        <w:rPr>
          <w:rFonts w:ascii="Times New Roman" w:hAnsi="Times New Roman"/>
          <w:sz w:val="20"/>
        </w:rPr>
        <w:t>Distributional characterisation of per-signature similarity. We apply three statistical diagnostics---a Hartigan dip test, an EM-fitted Beta mixture with logit-Gaussian robustness check, and a Burgstahler-Dichev / McCrary density-smoothness procedure---to characterise the shape of the per-signature similarity distribution. The three diagnostics jointly find that per-signature similarity forms a continuous quality spectrum, which both motivates the percentile-based operational anchor over a mixture-fit crossing and is itself a substantive finding for the document-forensics literature on similarity-threshold selection.</w:t>
      </w:r>
    </w:p>
    <w:p>
      <w:pPr>
        <w:pStyle w:val="ListNumber"/>
      </w:pPr>
      <w:r>
        <w:rPr>
          <w:rFonts w:ascii="Times New Roman" w:hAnsi="Times New Roman"/>
          <w:sz w:val="20"/>
        </w:rPr>
        <w:t>Replication-dominated calibration methodology. We introduce a calibration strategy using a known-majority-positive reference group, distinguishing *replication-dominated* from *replication-pure* anchors; and we validate classification using byte-level pixel identity as an annotation-free gold positive, requiring no manual labeling.</w:t>
      </w:r>
    </w:p>
    <w:p>
      <w:pPr>
        <w:pStyle w:val="ListNumber"/>
      </w:pPr>
      <w:r>
        <w:rPr>
          <w:rFonts w:ascii="Times New Roman" w:hAnsi="Times New Roman"/>
          <w:sz w:val="20"/>
        </w:rPr>
        <w:t>Large-scale empirical analysis. We report findings from the analysis of over 90,000 audit reports spanning a decade, providing the first large-scale empirical evidence on non-hand-signing practices in financial reporting under a methodology designed for peer-review defensibility.</w:t>
      </w:r>
    </w:p>
    <w:p>
      <w:pPr>
        <w:spacing w:after="120"/>
      </w:pPr>
      <w:r>
        <w:rPr>
          <w:rFonts w:ascii="Times New Roman" w:hAnsi="Times New Roman"/>
          <w:sz w:val="20"/>
        </w:rPr>
        <w:t>The remainder of this paper is organized as follows. Section II reviews related work on signature verification, document forensics, perceptual hashing, and the statistical methods we adopt for distributional characterisation. Section III describes the proposed methodology. Section IV presents experimental results including the signature-level distributional characterisation, pixel-identity validation, and backbone ablation study.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replication-dominated subpopulation identified through domain expertise in real-world regulatory documents.</w:t>
      </w:r>
    </w:p>
    <w:p>
      <w:pPr>
        <w:pStyle w:val="Heading2"/>
      </w:pPr>
      <w:r>
        <w:rPr>
          <w:color w:val="000000"/>
        </w:rPr>
        <w:t>B. Document Forensics and Copy Detection</w:t>
      </w:r>
    </w:p>
    <w:p>
      <w:pPr>
        <w:spacing w:after="120"/>
      </w:pPr>
      <w:r>
        <w:rPr>
          <w:rFonts w:ascii="Times New Roman" w:hAnsi="Times New Roman"/>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Determination</w:t>
      </w:r>
    </w:p>
    <w:p>
      <w:pPr>
        <w:spacing w:after="120"/>
      </w:pPr>
      <w:r>
        <w:rPr>
          <w:rFonts w:ascii="Times New Roman" w:hAnsi="Times New Roman"/>
          <w:sz w:val="20"/>
        </w:rPr>
        <w:t>Our threshold-determination framework combines three families of methods developed in statistics and accounting-econometrics.</w:t>
      </w:r>
    </w:p>
    <w:p>
      <w:pPr>
        <w:spacing w:after="120"/>
      </w:pPr>
      <w:r>
        <w:rPr>
          <w:rFonts w:ascii="Times New Roman" w:hAnsi="Times New Roman"/>
          <w:sz w:val="20"/>
        </w:rPr>
        <w:t>Non-parametric density estimation. Kernel density estimation [28] provides a smooth estimate of a similarity distribution without parametric assumptions. Where the distribution is bimodal, the local density minimum (antimode) between the two modes is the Bayes-optimal decision boundary under equal priors.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sz w:val="20"/>
        </w:rPr>
        <w:t>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$N(0,1)$.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sz w:val="20"/>
        </w:rPr>
        <w:t>Finite mixture models. When the empirical distribution is viewed as a weighted sum of two (or more) latent component distributions, the Expectation-Maximization algorithm [40] provides consistent maximum-likelihood estimates of the component parameters. For observations bounded on $[0,1]$—such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sz w:val="20"/>
        </w:rPr>
        <w:t>The present study combines all three families, using each to produce an independent threshold estimate and treating cross-method convergence—or principled divergence—as evidence of where in the analysis hierarchy the mixture structure is statistically supported.</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sz w:val="20"/>
        </w:rPr>
        <w:t>We propose a six-stage pipeline for large-scale non-hand-signed auditor signature detection in scanned financial documents. Fig. 1 illustrates the overall architecture. The pipeline takes as input a corpus of PDF audit reports and produces, for each document, a classification of its CPA signatures along a confidence continuum anchored on whole-sample Firm A percentile heuristics and validated against a byte-level pixel-identity positive anchor and a large random inter-CPA negative anchor.</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reproduce a single stored image so that signatures on different reports from the same partner are identical up to reproduction noise.</w:t>
      </w:r>
    </w:p>
    <w:p>
      <w:pPr>
        <w:pStyle w:val="Heading2"/>
      </w:pPr>
      <w:r>
        <w:rPr>
          <w:color w:val="000000"/>
        </w:rPr>
        <w:t>B. Data Collection</w:t>
      </w:r>
    </w:p>
    <w:p>
      <w:pPr>
        <w:spacing w:after="120"/>
      </w:pPr>
      <w:r>
        <w:rPr>
          <w:rFonts w:ascii="Times New Roman" w:hAnsi="Times New Roman"/>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pStyle w:val="Heading2"/>
      </w:pPr>
      <w:r>
        <w:rPr>
          <w:color w:val="000000"/>
        </w:rPr>
        <w:t>C. Signature Page Identification</w:t>
      </w:r>
    </w:p>
    <w:p>
      <w:pPr>
        <w:spacing w:after="120"/>
      </w:pPr>
      <w:r>
        <w:rPr>
          <w:rFonts w:ascii="Times New Roman" w:hAnsi="Times New Roman"/>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86,072 documents with signature pages; the remaining 4,198 documents (4.6%) were classified as having no signatures and excluded. An additional 12 corrupted PDFs were excluded, yielding a final set of 86,071 documents.</w:t>
      </w:r>
    </w:p>
    <w:p>
      <w:pPr>
        <w:spacing w:after="120"/>
      </w:pPr>
      <w:r>
        <w:rPr>
          <w:rFonts w:ascii="Times New Roman" w:hAnsi="Times New Roman"/>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sz w:val="20"/>
        </w:rPr>
        <w:t>The model was trained for 100 epochs on a 425/75 training/validation split with COCO pre-trained initialization, achieving strong detection performance (Table II).</w:t>
      </w:r>
    </w:p>
    <w:p>
      <w:pPr>
        <w:spacing w:after="120"/>
      </w:pPr>
      <w:r>
        <w:rPr>
          <w:rFonts w:ascii="Times New Roman" w:hAnsi="Times New Roman"/>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sz w:val="20"/>
        </w:rPr>
        <w:t>Each signature was matched to its corresponding CPA using positional order (first or second signature on the page) against the official CPA registry, achieving a 92.6% match rate (168,755 of 182,328 signatures).</w:t>
      </w:r>
    </w:p>
    <w:p>
      <w:pPr>
        <w:pStyle w:val="Heading2"/>
      </w:pPr>
      <w:r>
        <w:rPr>
          <w:color w:val="000000"/>
        </w:rPr>
        <w:t>E. Feature Extraction</w:t>
      </w:r>
    </w:p>
    <w:p>
      <w:pPr>
        <w:spacing w:after="120"/>
      </w:pPr>
      <w:r>
        <w:rPr>
          <w:rFonts w:ascii="Times New Roman" w:hAnsi="Times New Roman"/>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V-G). This design choice is validated by an ablation study (Section IV-I) comparing ResNet-50 against VGG-16 and EfficientNet-B0.</w:t>
      </w:r>
    </w:p>
    <w:p>
      <w:pPr>
        <w:pStyle w:val="Heading2"/>
      </w:pPr>
      <w:r>
        <w:rPr>
          <w:color w:val="000000"/>
        </w:rPr>
        <w:t>F. Dual-Method Similarity Descriptors</w:t>
      </w:r>
    </w:p>
    <w:p>
      <w:pPr>
        <w:spacing w:after="120"/>
      </w:pPr>
      <w:r>
        <w:rPr>
          <w:rFonts w:ascii="Times New Roman" w:hAnsi="Times New Roman"/>
          <w:sz w:val="20"/>
        </w:rPr>
        <w:t>For each signature, we compute two complementary similarity measures against other signatures attributed to the same CPA:</w:t>
      </w:r>
    </w:p>
    <w:p>
      <w:pPr>
        <w:spacing w:after="120"/>
      </w:pPr>
      <w:r>
        <w:rPr>
          <w:rFonts w:ascii="Times New Roman" w:hAnsi="Times New Roman"/>
          <w:sz w:val="20"/>
        </w:rPr>
        <w:t>Cosine similarity on deep embeddings captures high-level visual style:</w:t>
      </w:r>
    </w:p>
    <w:p>
      <w:pPr>
        <w:spacing w:after="120"/>
      </w:pPr>
      <w:r>
        <w:rPr>
          <w:rFonts w:ascii="Times New Roman" w:hAnsi="Times New Roman"/>
          <w:sz w:val="20"/>
        </w:rPr>
        <w:t>\text{sim}(\mathbf{f}_A, \mathbf{f}_B) = \mathbf{f}_A \cdot \mathbf{f}_B</w:t>
      </w:r>
    </w:p>
    <w:p>
      <w:pPr>
        <w:spacing w:after="120"/>
      </w:pPr>
      <w:r>
        <w:rPr>
          <w:rFonts w:ascii="Times New Roman" w:hAnsi="Times New Roman"/>
          <w:sz w:val="20"/>
        </w:rPr>
        <w:t>where $\mathbf{f}_A$ and $\mathbf{f}_B$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yields extreme similarity under both descriptors, since the underlying image is identical up to reproduction noise. Hand-signing, by contrast, yields high dHash similarity (the overall layout of a signature is preserved across writing occasions) but measurably lower cosine similarity (fine execution varies). Convergence of the two descriptors is therefore a natural robustness check; when they disagree, the case is flagged as borderline.</w:t>
      </w:r>
    </w:p>
    <w:p>
      <w:pPr>
        <w:spacing w:after="120"/>
      </w:pPr>
      <w:r>
        <w:rPr>
          <w:rFonts w:ascii="Times New Roman" w:hAnsi="Times New Roman"/>
          <w:sz w:val="20"/>
        </w:rPr>
        <w:t>We specifically excluded SSIM (Structural Similarity Index) [30] after empirical testing showed it to be unreliable for scanned documents: the calibration firm (Section III-H) exhibited a mean SSIM of only 0.70 due to scan-induced pixel-level variations, despite near-identical visual content. Cosine similarity and dHash are both robust to the noise introduced by the print-scan cycle.</w:t>
      </w:r>
    </w:p>
    <w:p>
      <w:pPr>
        <w:pStyle w:val="Heading2"/>
      </w:pPr>
      <w:r>
        <w:rPr>
          <w:color w:val="000000"/>
        </w:rPr>
        <w:t>G. Unit of Analysis and Summary Statistics</w:t>
      </w:r>
    </w:p>
    <w:p>
      <w:pPr>
        <w:spacing w:after="120"/>
      </w:pPr>
      <w:r>
        <w:rPr>
          <w:rFonts w:ascii="Times New Roman" w:hAnsi="Times New Roman"/>
          <w:sz w:val="20"/>
        </w:rPr>
        <w:t>Two unit-of-analysis choices are relevant for this study, ordered from finest to coarsest: (i) the signature—one signature image extracted from one report; and (ii) the auditor-year—all signatures by one CPA within one fiscal year. The signature is the operational unit of classification (Section III-K) and of all primary statistical analyses (Section IV-D, IV-F, IV-G). The auditor-year is used in the partner-level similarity ranking of Section IV-F.2 as a deliberately within-year aggregation that avoids cross-year pooling. We do not use a coarser CPA-level cross-year unit, because pooling a CPA's signatures across the full 2013--2023 sample period would conflate distinct signing-mechanism regimes whenever a CPA's practice changes during the sample, and we make no claim about the within-CPA stability of signing mechanisms over time.</w:t>
      </w:r>
    </w:p>
    <w:p>
      <w:pPr>
        <w:spacing w:after="120"/>
      </w:pPr>
      <w:r>
        <w:rPr>
          <w:rFonts w:ascii="Times New Roman" w:hAnsi="Times New Roman"/>
          <w:sz w:val="20"/>
        </w:rPr>
        <w:t>For per-signature classification we compute, for each signature, the maximum pairwise cosine similarity and the minimum dHash Hamming distance against every other signature attributed to the same CPA (over the full same-CPA set, not restricted to the same fiscal year). The max/min (rather than mean) formulation reflects the identification logic for non-hand-signing: if even one other signature of the same CPA is a pixel-level reproduction, that pair will dominate the extremes and reveal the non-hand-signed mechanism. Mean statistics would dilute this signal.</w:t>
      </w:r>
    </w:p>
    <w:p>
      <w:pPr>
        <w:spacing w:after="120"/>
      </w:pPr>
      <w:r>
        <w:rPr>
          <w:rFonts w:ascii="Times New Roman" w:hAnsi="Times New Roman"/>
          <w:sz w:val="20"/>
        </w:rPr>
        <w:t>For the dHash dimension we use the independent minimum dHash: the minimum Hamming distance from a signature to any other signature of the same CPA (over the full same-CPA set). The independent minimum is unconditional on the cosine-nearest pair and is therefore the conservative structural-similarity statistic; it is the dHash statistic used throughout the operational classifier (Section III-K) and all reported capture-rate analyses.</w:t>
      </w:r>
    </w:p>
    <w:p>
      <w:pPr>
        <w:spacing w:after="120"/>
      </w:pPr>
      <w:r>
        <w:rPr>
          <w:rFonts w:ascii="Times New Roman" w:hAnsi="Times New Roman"/>
          <w:sz w:val="20"/>
        </w:rPr>
        <w:t>We make one stipulation about same-CPA pair detectability.</w:t>
      </w:r>
    </w:p>
    <w:p>
      <w:pPr>
        <w:spacing w:after="120"/>
      </w:pPr>
      <w:r>
        <w:rPr>
          <w:rFonts w:ascii="Times New Roman" w:hAnsi="Times New Roman"/>
          <w:sz w:val="20"/>
        </w:rPr>
        <w:t>(A1) Pair-detectability. If a CPA uses image replication anywhere in the corpus, then at least one same-CPA signature pair is near-identical (after reproduction noise) within the cross-year same-CPA pool used by the max-cosine / min-dHash computation above. This is plausible for high-volume stamping or firm-level electronic-signing workflows—where a stored image is typically reused many times under similar scan and compression conditions—but it is not guaranteed when (i) the corpus contains only one observed replicated report for a CPA, (ii) multiple template variants are in use simultaneously, or (iii) scan-stage noise pushes a replicated pair outside the detection regime. A1 is a cross-year pair-existence property, not a within-year uniformity claim, and is the only assumption the per-signature detector requires to be sensitive to replication.</w:t>
      </w:r>
    </w:p>
    <w:p>
      <w:pPr>
        <w:spacing w:after="120"/>
      </w:pPr>
      <w:r>
        <w:rPr>
          <w:rFonts w:ascii="Times New Roman" w:hAnsi="Times New Roman"/>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signing output within a single fiscal year may reflect a single replication template, multiple templates used in parallel (e.g., different stored images for different engagement positions or reporting pipelines), within-year mechanism mixing, or a combination; our signature-level analyses remain valid under all of these regimes, since they do not attempt mechanism attribution at the partner or report level.</w:t>
      </w:r>
    </w:p>
    <w:p>
      <w:pPr>
        <w:spacing w:after="120"/>
      </w:pPr>
      <w:r>
        <w:rPr>
          <w:rFonts w:ascii="Times New Roman" w:hAnsi="Times New Roman"/>
          <w:sz w:val="20"/>
        </w:rPr>
        <w:t>The intra-report consistency analysis in Section IV-F.3 is a firm-level homogeneity check—whether the two co-signing CPAs on the same report receive the same signature-level label under the operational classifier—rather than a test of within-partner or within-year uniformity.</w:t>
      </w:r>
    </w:p>
    <w:p>
      <w:pPr>
        <w:pStyle w:val="Heading2"/>
      </w:pPr>
      <w:r>
        <w:rPr>
          <w:color w:val="000000"/>
        </w:rPr>
        <w:t>H. Calibration Reference: Firm A as a Replication-Dominated Population</w:t>
      </w:r>
    </w:p>
    <w:p>
      <w:pPr>
        <w:spacing w:after="120"/>
      </w:pPr>
      <w:r>
        <w:rPr>
          <w:rFonts w:ascii="Times New Roman" w:hAnsi="Times New Roman"/>
          <w:sz w:val="20"/>
        </w:rPr>
        <w:t>A distinctive aspect of our methodology is the use of Firm A—a major Big-4 accounting firm in Taiwan—as an empirical calibration reference. Rather than treating Firm A as a synthetic or laboratory positive control, we treat it as a naturally occurring replication-dominated population: a CPA population whose aggregate signing behavior is dominated by non-hand-signing but is not a pure positive class.</w:t>
      </w:r>
    </w:p>
    <w:p>
      <w:pPr>
        <w:spacing w:after="120"/>
      </w:pPr>
      <w:r>
        <w:rPr>
          <w:rFonts w:ascii="Times New Roman" w:hAnsi="Times New Roman"/>
          <w:sz w:val="20"/>
        </w:rPr>
        <w:t>The background context for this choice is practitioner knowledge about Firm A's signing practice: industry practice at the firm is widely understood among practitioners to involve reproducing a stored signature image for the majority of certifying partners—originally via administrative stamping workflows and later via firm-level electronic signing systems—while not ruling out that a minority of partners may continue to hand-sign some or all of their reports. We use this only as background context for why Firm A is a plausible calibration candidate; the evidence for Firm A's replication-dominated status comes entirely from the paper's own analyses, which do not depend on any claim about signing practice beyond what the audit-report images themselves show.</w:t>
      </w:r>
    </w:p>
    <w:p>
      <w:pPr>
        <w:spacing w:after="120"/>
      </w:pPr>
      <w:r>
        <w:rPr>
          <w:rFonts w:ascii="Times New Roman" w:hAnsi="Times New Roman"/>
          <w:sz w:val="20"/>
        </w:rPr>
        <w:t>We establish Firm A's replication-dominated status through two primary independent quantitative analyses plus a third strand comprising three complementary checks, each of which can be reproduced from the public audit-report corpus alone:</w:t>
      </w:r>
    </w:p>
    <w:p>
      <w:pPr>
        <w:spacing w:after="120"/>
      </w:pPr>
      <w:r>
        <w:rPr>
          <w:rFonts w:ascii="Times New Roman" w:hAnsi="Times New Roman"/>
          <w:sz w:val="20"/>
        </w:rPr>
        <w:t>First, automated byte-level pair analysis (Section IV-F.1) identifies 145 Firm A signatures that are byte-identical to at least one other same-CPA signature from a different audit report, distributed across 50 distinct Firm A partners (of 180 registered); 35 of these byte-identical matches span different fiscal years. Byte-identity implies pixel-identity by construction, and independent hand-signing cannot produce pixel-identical images across distinct reports—these pairs therefore establish image reuse as a concrete, threshold-free phenomenon within Firm A and confirm that replication is widespread (50 of 180 registered partners) rather than confined to a handful of CPAs.</w:t>
      </w:r>
    </w:p>
    <w:p>
      <w:pPr>
        <w:spacing w:after="120"/>
      </w:pPr>
      <w:r>
        <w:rPr>
          <w:rFonts w:ascii="Times New Roman" w:hAnsi="Times New Roman"/>
          <w:sz w:val="20"/>
        </w:rPr>
        <w:t>Second, signature-level distributional evidence: Firm A's per-signature best-match cosine distribution is unimodal with a long left tail (Hartigan dip test $p = 0.17$ at $n \geq 10$ signatures; Section IV-D), consistent with a single dominant mechanism (non-hand-signing) plus residual within-firm heterogeneity rather than two cleanly separated mechanisms. 92.5% of Firm A's per-signature best-match cosine similarities exceed 0.95 and the remaining 7.5% form the long left tail (we do not disaggregate partner-level mechanism here; see Section III-G for the scope of claims). The unimodal-long-tail shape, not the precise 92.5/7.5 split, is the structural evidence: it predicts that Firm A is replication-dominated rather than a clean two-class population, and a noise-only explanation of the left tail would predict a shrinking share as scan/PDF technology matured over 2013--2023, which is not what we observe (Section IV-F.1).</w:t>
      </w:r>
    </w:p>
    <w:p>
      <w:pPr>
        <w:spacing w:after="120"/>
      </w:pPr>
      <w:r>
        <w:rPr>
          <w:rFonts w:ascii="Times New Roman" w:hAnsi="Times New Roman"/>
          <w:sz w:val="20"/>
        </w:rPr>
        <w:t>Third, we additionally validate the Firm A benchmark through three complementary analyses reported in Section IV-F. Only the partner-level ranking is fully threshold-free; the longitudinal-stability and intra-report analyses use the operational classifier and are interpreted as consistency checks on its firm-level output: (a) Longitudinal stability (Section IV-F.1). The share of Firm A per-signature best-match cosine values below 0.95 is stable at 6-13% across 2013-2023, with the lowest share in 2023. The 0.95 cutoff is the whole-sample Firm A P7.5 heuristic (Section III-K; 92.5% of whole-sample Firm A signatures exceed this cutoff); the substantive finding here is the temporal stability of the rate, not the absolute rate at any single year. (b) Partner-level similarity ranking (Section IV-F.2). When every auditor-year is ranked globally by its per-auditor-year mean best-match cosine (across all firms: Big-4 and Non-Big-4), Firm A auditor-years account for 95.9% of the top decile against a baseline share of 27.8% (a 3.5$\times$ concentration ratio), and this over-representation is stable across 2013-2023. This analysis uses only the ordinal ranking and is independent of any absolute cutoff. (c) Intra-report consistency (Section IV-F.3). Because each Taiwanese statutory audit report is co-signed by two engagement partners, firm-wide stamping practice predicts that both signers on a given Firm A report should receive the same signature-level label under the classifier. Firm A exhibits 89.9% intra-report agreement against 62-67% at the other Big-4 firms. This test uses the operational classifier and is therefore a consistency check on the classifier's firm-level output rather than a threshold-free test; the cross-firm gap (not the absolute rate) is the substantive finding.</w:t>
      </w:r>
    </w:p>
    <w:p>
      <w:pPr>
        <w:spacing w:after="120"/>
      </w:pPr>
      <w:r>
        <w:rPr>
          <w:rFonts w:ascii="Times New Roman" w:hAnsi="Times New Roman"/>
          <w:sz w:val="20"/>
        </w:rPr>
        <w:t>We emphasize that the 92.5% figure is a within-sample consistency check rather than an independent validation of Firm A's status; the validation role is played by the byte-level pixel-identity evidence, the unimodal-long-tail dip-test result, the three complementary analyses above, and the held-out Firm A fold (described in Section III-J; fold-level rate differences are disclosed in Section IV-F.2).</w:t>
      </w:r>
    </w:p>
    <w:p>
      <w:pPr>
        <w:spacing w:after="120"/>
      </w:pPr>
      <w:r>
        <w:rPr>
          <w:rFonts w:ascii="Times New Roman" w:hAnsi="Times New Roman"/>
          <w:sz w:val="20"/>
        </w:rPr>
        <w:t>We emphasize that Firm A's replication-dominated status was not derived from the thresholds we calibrate against it. Its identification rests on the byte-level pair evidence and the dip-test-confirmed unimodal-long-tail shape, both of which are independent of any threshold choice. The "replication-dominated, not pure" framing is important both for internal consistency—it predicts and explains the long left tail observed in Firm A's cosine distribution (Section IV-D)—and for avoiding overclaim in downstream inference.</w:t>
      </w:r>
    </w:p>
    <w:p>
      <w:pPr>
        <w:pStyle w:val="Heading2"/>
      </w:pPr>
      <w:r>
        <w:rPr>
          <w:color w:val="000000"/>
        </w:rPr>
        <w:t>I. Signature-Level Threshold Characterisation</w:t>
      </w:r>
    </w:p>
    <w:p>
      <w:pPr>
        <w:spacing w:after="120"/>
      </w:pPr>
      <w:r>
        <w:rPr>
          <w:rFonts w:ascii="Times New Roman" w:hAnsi="Times New Roman"/>
          <w:sz w:val="20"/>
        </w:rPr>
        <w:t>This section describes how we set the operational classifier's similarity threshold and how we characterise the per-signature similarity distribution that supports it. The two roles are kept separate by design.</w:t>
      </w:r>
    </w:p>
    <w:p>
      <w:pPr>
        <w:spacing w:after="120"/>
      </w:pPr>
      <w:r>
        <w:rPr>
          <w:rFonts w:ascii="Times New Roman" w:hAnsi="Times New Roman"/>
          <w:sz w:val="20"/>
        </w:rPr>
        <w:t>&gt; Operational threshold (used by the classifier). The cosine cut is anchored on the whole-sample Firm A P7.5 percentile (cos $&gt; 0.95$; Section III-K). &gt; &gt; Statistical characterisation (used to motivate the choice of anchor and to describe the distributional structure). A Hartigan dip test, an EM-fitted Beta mixture (with logit-Gaussian robustness check), and a Burgstahler-Dichev / McCrary density-smoothness procedure—all applied at the per-signature level (Section IV-D).</w:t>
      </w:r>
    </w:p>
    <w:p>
      <w:pPr>
        <w:spacing w:after="120"/>
      </w:pPr>
      <w:r>
        <w:rPr>
          <w:rFonts w:ascii="Times New Roman" w:hAnsi="Times New Roman"/>
          <w:sz w:val="20"/>
        </w:rPr>
        <w:t>The reason for the split is empirical. The three statistical diagnostics jointly find that per-signature similarity forms a continuous quality spectrum (Section IV-D, summarised below): the dip test fails to reject unimodality for Firm A; BIC strongly prefers a 3-component over a 2-component Beta fit, so the 2-component crossing is a forced fit; and the BD/McCrary candidate transition lies inside the non-hand-signed mode rather than between modes (and is not bin-width-stable; Appendix A). Under these conditions the natural anchor for an operational cosine cut is a transparent percentile of a known-majority-positive reference population (Firm A) rather than a mixture-fit crossing whose location depends on parametric assumptions the data do not support.</w:t>
      </w:r>
    </w:p>
    <w:p>
      <w:pPr>
        <w:spacing w:after="120"/>
      </w:pPr>
      <w:r>
        <w:rPr>
          <w:rFonts w:ascii="Times New Roman" w:hAnsi="Times New Roman"/>
          <w:sz w:val="20"/>
        </w:rPr>
        <w:t>We describe the three diagnostics and the assumptions underlying each in the subsections below. The two threshold estimators rest on decreasing-in-strength assumptions: the KDE antimode/crossover requires only smoothness; the Beta mixture additionally requires a parametric specification, and the logit-Gaussian cross-check reports sensitivity to that form. The Burgstahler-Dichev / McCrary procedure is applied to the same distribution as a density-smoothness diagnostic: it would identify a sharp local density discontinuity if one existed at the boundary between two cleanly separated mechanisms. Because all three diagnostics are applied to the same sample rather than to independent experiments, agreement or disagreement among them is read as evidence about distributional structure rather than as a formal statistical guarantee.</w:t>
      </w:r>
    </w:p>
    <w:p>
      <w:pPr>
        <w:pStyle w:val="Heading3"/>
      </w:pPr>
      <w:r>
        <w:rPr>
          <w:color w:val="000000"/>
        </w:rPr>
        <w:t>1) Method 1: KDE Antimode / Crossover with Unimodality Test</w:t>
      </w:r>
    </w:p>
    <w:p>
      <w:pPr>
        <w:spacing w:after="120"/>
      </w:pPr>
      <w:r>
        <w:rPr>
          <w:rFonts w:ascii="Times New Roman" w:hAnsi="Times New Roman"/>
          <w:sz w:val="20"/>
        </w:rPr>
        <w:t>We use two closely related KDE-based threshold estimators and apply each where it is appropriate. When two labeled populations are available (e.g., the all-pairs intra-class and inter-class similarity distributions of Section IV-C), the KDE crossover is the intersection point of the two kernel density estimates under Scott's rule for bandwidth selection [28]; under equal priors and symmetric misclassification costs it approximates the Bayes-optimal decision boundary between the two classes. When a single distribution is analysed (e.g., the per-signature best-match cosine distribution of Section IV-D) the KDE antimode is the local density minimum between two modes of the fitted density; it serves the same decision-theoretic role when the distribution is multimodal but is undefined when the distribution is unimodal. In either case we use the Hartigan &amp; Hartigan dip test [37] as a formal test of unimodality (rejecting the null of unimodality is consistent with but does not directly establish bimodality specifically), and perform a sensitivity analysis varying the bandwidth over $\pm 50\%$ of the Scott's-rule value to verify threshold stability.</w:t>
      </w:r>
    </w:p>
    <w:p>
      <w:pPr>
        <w:pStyle w:val="Heading3"/>
      </w:pPr>
      <w:r>
        <w:rPr>
          <w:color w:val="000000"/>
        </w:rPr>
        <w:t>2) Method 2: Finite Mixture Model via EM</w:t>
      </w:r>
    </w:p>
    <w:p>
      <w:pPr>
        <w:spacing w:after="120"/>
      </w:pPr>
      <w:r>
        <w:rPr>
          <w:rFonts w:ascii="Times New Roman" w:hAnsi="Times New Roman"/>
          <w:sz w:val="20"/>
        </w:rPr>
        <w:t>We fit a two-component Beta mixture to the cosine distribution via the EM algorithm [40] using method-of-moments M-step estimates (which are numerically stable for bounded proportion data). The first component represents non-hand-signed signatures (high mean, narrow spread) and the second represents hand-signed signatures (lower mean, wider spread). Under the fitted model the threshold is the crossing point of the two weighted component densities,</w:t>
      </w:r>
    </w:p>
    <w:p>
      <w:pPr>
        <w:spacing w:after="120"/>
      </w:pPr>
      <w:r>
        <w:rPr>
          <w:rFonts w:ascii="Times New Roman" w:hAnsi="Times New Roman"/>
          <w:sz w:val="20"/>
        </w:rPr>
        <w:t>\pi_1 \cdot \text{Beta}(x; \alpha_1, \beta_1) = (1 - \pi_1) \cdot \text{Beta}(x; \alpha_2, \beta_2),</w:t>
      </w:r>
    </w:p>
    <w:p>
      <w:pPr>
        <w:spacing w:after="120"/>
      </w:pPr>
      <w:r>
        <w:rPr>
          <w:rFonts w:ascii="Times New Roman" w:hAnsi="Times New Roman"/>
          <w:sz w:val="20"/>
        </w:rPr>
        <w:t>solved numerically via bracketed root-finding. As a robustness check against the Beta parametric form we fit a parallel two-component Gaussian mixture to the logit-transformed similarity, following standard practice for bounded proportion data. White's [41] quasi-MLE consistency result justifies interpreting the logit-Gaussian estimates as asymptotic approximations to the best Gaussian-family fit under misspecification; we use the cross-check between Beta and logit-Gaussian crossings as a diagnostic of parametric-form sensitivity rather than as a guarantee of distributional recovery.</w:t>
      </w:r>
    </w:p>
    <w:p>
      <w:pPr>
        <w:spacing w:after="120"/>
      </w:pPr>
      <w:r>
        <w:rPr>
          <w:rFonts w:ascii="Times New Roman" w:hAnsi="Times New Roman"/>
          <w:sz w:val="20"/>
        </w:rPr>
        <w:t>We fit 2- and 3-component variants of each mixture and report BIC for model selection. When BIC prefers the 3-component fit, the 2-component assumption itself is a forced fit, and the Bayes-optimal threshold derived from the 2-component crossing should be treated as an upper bound rather than a definitive cut.</w:t>
      </w:r>
    </w:p>
    <w:p>
      <w:pPr>
        <w:pStyle w:val="Heading3"/>
      </w:pPr>
      <w:r>
        <w:rPr>
          <w:color w:val="000000"/>
        </w:rPr>
        <w:t>3) Density-Smoothness Diagnostic: Burgstahler-Dichev / McCrary</w:t>
      </w:r>
    </w:p>
    <w:p>
      <w:pPr>
        <w:spacing w:after="120"/>
      </w:pPr>
      <w:r>
        <w:rPr>
          <w:rFonts w:ascii="Times New Roman" w:hAnsi="Times New Roman"/>
          <w:sz w:val="20"/>
        </w:rPr>
        <w:t>Complementing the two threshold estimators above, we apply the discontinuity test of Burgstahler and Dichev [38], made asymptotically rigorous by McCrary [39], as a density-smoothness diagnostic rather than as a third threshold estimator. We discretize each distribution (cosine into bins of width 0.005; $\text{dHash}_\text{indep}$ into integer bins) and compute, for each bin $i$ with count $n_i$, the standardized deviation from the smooth-null expectation of the average of its neighbours,</w:t>
      </w:r>
    </w:p>
    <w:p>
      <w:pPr>
        <w:spacing w:after="120"/>
      </w:pPr>
      <w:r>
        <w:rPr>
          <w:rFonts w:ascii="Times New Roman" w:hAnsi="Times New Roman"/>
          <w:sz w:val="20"/>
        </w:rPr>
        <w:t>Z_i = \frac{n_i - \tfrac{1}{2}(n_{i-1} + n_{i+1})}{\sqrt{N p_i (1-p_i) + \tfrac{1}{4} N (p_{i-1}+p_{i+1})(1 - p_{i-1} - p_{i+1})}},</w:t>
      </w:r>
    </w:p>
    <w:p>
      <w:pPr>
        <w:spacing w:after="120"/>
      </w:pPr>
      <w:r>
        <w:rPr>
          <w:rFonts w:ascii="Times New Roman" w:hAnsi="Times New Roman"/>
          <w:sz w:val="20"/>
        </w:rPr>
        <w:t>which is approximately $N(0,1)$ under the null of distributional smoothness. A candidate transition is identified at an adjacent bin pair where $Z_{i-1}$ is significantly negative and $Z_i$ is significantly positive (cosine) or the reverse (dHash). Appendix A reports a bin-width sensitivity sweep covering $\text{bin} \in \{0.003, 0.005, 0.010, 0.015\}$ for cosine and $\text{bin} \in \{1, 2, 3\}$ for dHash; the sweep shows that signature-level BD transitions are not bin-width-stable, consistent with histogram-resolution artifacts rather than a genuine cross-mode density discontinuity. We therefore do not treat the BD/McCrary procedure as a threshold estimator in our application but as diagnostic evidence about distributional smoothness.</w:t>
      </w:r>
    </w:p>
    <w:p>
      <w:pPr>
        <w:pStyle w:val="Heading3"/>
      </w:pPr>
      <w:r>
        <w:rPr>
          <w:color w:val="000000"/>
        </w:rPr>
        <w:t>4) Reading the Three Diagnostics Together</w:t>
      </w:r>
    </w:p>
    <w:p>
      <w:pPr>
        <w:spacing w:after="120"/>
      </w:pPr>
      <w:r>
        <w:rPr>
          <w:rFonts w:ascii="Times New Roman" w:hAnsi="Times New Roman"/>
          <w:sz w:val="20"/>
        </w:rPr>
        <w:t>The two threshold estimators rest on decreasing-in-strength assumptions: the KDE antimode/crossover requires only smoothness; the Beta mixture additionally requires a parametric specification (with logit-Gaussian as a robustness cross-check against that form). If the two estimated thresholds were to differ by less than a practically meaningful margin and the BD/McCrary procedure were to identify a sharp transition at the same level, that pattern would constitute convergent evidence for a clean two-mechanism boundary at that location.</w:t>
      </w:r>
    </w:p>
    <w:p>
      <w:pPr>
        <w:spacing w:after="120"/>
      </w:pPr>
      <w:r>
        <w:rPr>
          <w:rFonts w:ascii="Times New Roman" w:hAnsi="Times New Roman"/>
          <w:sz w:val="20"/>
        </w:rPr>
        <w:t>This is not the pattern we observe at the per-signature level. The two threshold estimators yield crossings spread across a wide range (Section IV-D); the BIC clearly prefers a 3-component over a 2-component Beta fit, indicating that the 2-component crossing is a forced fit and should be read as an upper bound rather than a definitive cut; and the BD/McCrary procedure locates its candidate transition inside the non-hand-signed mode rather than between modes (Appendix A). We interpret this jointly as evidence that per-signature similarity is a continuous quality spectrum rather than a clean two-mechanism mixture, and we accordingly anchor the operational classifier's cosine cut on whole-sample Firm A percentile heuristics (Section III-K) rather than on a mixture-fit crossing.</w:t>
      </w:r>
    </w:p>
    <w:p>
      <w:pPr>
        <w:pStyle w:val="Heading2"/>
      </w:pPr>
      <w:r>
        <w:rPr>
          <w:color w:val="000000"/>
        </w:rPr>
        <w:t>J. Pixel-Identity, Inter-CPA, and Held-Out Firm A Validation (No Manual Annotation)</w:t>
      </w:r>
    </w:p>
    <w:p>
      <w:pPr>
        <w:spacing w:after="120"/>
      </w:pPr>
      <w:r>
        <w:rPr>
          <w:rFonts w:ascii="Times New Roman" w:hAnsi="Times New Roman"/>
          <w:sz w:val="20"/>
        </w:rPr>
        <w:t>Rather than construct a stratified manual-annotation validation set, we validate the classifier using four naturally occurring reference populations that require no human labeling:</w:t>
      </w:r>
    </w:p>
    <w:p>
      <w:pPr>
        <w:pStyle w:val="ListNumber"/>
      </w:pPr>
      <w:r>
        <w:rPr>
          <w:rFonts w:ascii="Times New Roman" w:hAnsi="Times New Roman"/>
          <w:sz w:val="20"/>
        </w:rPr>
        <w:t>Pixel-identical anchor (gold positive, conservative subset): signatures whose nearest same-CPA match is byte-identical after crop and normalization.</w:t>
      </w:r>
    </w:p>
    <w:p>
      <w:pPr>
        <w:spacing w:after="120"/>
      </w:pPr>
      <w:r>
        <w:rPr>
          <w:rFonts w:ascii="Times New Roman" w:hAnsi="Times New Roman"/>
          <w:sz w:val="20"/>
        </w:rPr>
        <w:t>Handwriting physics makes byte-identity impossible under independent signing events, so a byte-identical same-CPA pair is pair-level proof of image reuse and—for the byte-identical subset—conservative ground truth for non-hand-signed signatures; the narrow exception, in which a genuinely hand-signed exemplar was subsequently reused as the stamping or e-signature template, is discussed as a Limitation in Section V-G. We further emphasize that this anchor is a subset of the true positive class—only those non-hand-signed signatures whose nearest match happens to be byte-identical—and perfect recall against this anchor therefore does not establish recall against the full non-hand-signed population (Section V-G discusses this further).</w:t>
      </w:r>
    </w:p>
    <w:p>
      <w:pPr>
        <w:pStyle w:val="ListNumber"/>
      </w:pPr>
      <w:r>
        <w:rPr>
          <w:rFonts w:ascii="Times New Roman" w:hAnsi="Times New Roman"/>
          <w:sz w:val="20"/>
        </w:rPr>
        <w:t>Inter-CPA negative anchor (large gold negative): $\sim$50,000 pairs of signatures randomly sampled from *different* CPAs.</w:t>
      </w:r>
    </w:p>
    <w:p>
      <w:pPr>
        <w:spacing w:after="120"/>
      </w:pPr>
      <w:r>
        <w:rPr>
          <w:rFonts w:ascii="Times New Roman" w:hAnsi="Times New Roman"/>
          <w:sz w:val="20"/>
        </w:rPr>
        <w:t>Inter-CPA pairs cannot arise from reuse of a single signer's stored signature image, so this population is a reliable negative class for threshold sweeps. This anchor is substantially larger than a simple low-similarity-same-CPA negative and yields tight Wilson 95% confidence intervals on FAR at each candidate threshold.</w:t>
      </w:r>
    </w:p>
    <w:p>
      <w:pPr>
        <w:pStyle w:val="ListNumber"/>
      </w:pPr>
      <w:r>
        <w:rPr>
          <w:rFonts w:ascii="Times New Roman" w:hAnsi="Times New Roman"/>
          <w:sz w:val="20"/>
        </w:rPr>
        <w:t>Firm A anchor (replication-dominated prior positive): Firm A signatures, treated as a majority-positive reference with within-firm heterogeneity in the left tail, as evidenced by the 7.5% of Firm A signatures whose per-signature best-match cosine falls at or below 0.95 (Section III-H, Section IV-D).</w:t>
      </w:r>
    </w:p>
    <w:p>
      <w:pPr>
        <w:spacing w:after="120"/>
      </w:pPr>
      <w:r>
        <w:rPr>
          <w:rFonts w:ascii="Times New Roman" w:hAnsi="Times New Roman"/>
          <w:sz w:val="20"/>
        </w:rPr>
        <w:t>Because Firm A is both used for empirical percentile calibration in Section III-H and as a validation anchor, we make the within-Firm-A sampling variance visible by splitting Firm A CPAs randomly (at the CPA level, not the signature level) into a 70% calibration fold and a 30% heldout fold. The calibration-fold percentiles used in thresholding—cosine median, P1, and P5 (lower-tail, since higher cosine indicates greater similarity), and dHash_indep median and P95 (upper-tail, since lower dHash indicates greater similarity)—are derived from the 70% calibration fold only. The heldout fold is used exclusively to report post-hoc capture rates with Wilson 95% confidence intervals.</w:t>
      </w:r>
    </w:p>
    <w:p>
      <w:pPr>
        <w:pStyle w:val="ListNumber"/>
      </w:pPr>
      <w:r>
        <w:rPr>
          <w:rFonts w:ascii="Times New Roman" w:hAnsi="Times New Roman"/>
          <w:sz w:val="20"/>
        </w:rPr>
        <w:t>Low-similarity same-CPA anchor (supplementary negative): signatures whose maximum same-CPA cosine similarity is below 0.70.</w:t>
      </w:r>
    </w:p>
    <w:p>
      <w:pPr>
        <w:spacing w:after="120"/>
      </w:pPr>
      <w:r>
        <w:rPr>
          <w:rFonts w:ascii="Times New Roman" w:hAnsi="Times New Roman"/>
          <w:sz w:val="20"/>
        </w:rPr>
        <w:t>This anchor is retained for continuity with prior work but is small in our dataset ($n = 35$) and is reported only as a supplementary reference; its confidence intervals are too wide for quantitative inference.</w:t>
      </w:r>
    </w:p>
    <w:p>
      <w:pPr>
        <w:spacing w:after="120"/>
      </w:pPr>
      <w:r>
        <w:rPr>
          <w:rFonts w:ascii="Times New Roman" w:hAnsi="Times New Roman"/>
          <w:sz w:val="20"/>
        </w:rPr>
        <w:t>From these anchors we report FAR with Wilson 95% confidence intervals against the inter-CPA negative anchor. We do not report an Equal Error Rate or FRR column against the byte-identical positive anchor, because byte-identical pairs have cosine $\approx 1$ by construction and any FRR computed against that subset is trivially $0$ at every threshold below $1$; the conservative-subset role of the byte-identical anchor is instead discussed qualitatively in Section V-F. Precision and $F_1$ are not meaningful in this anchor-based evaluation because the positive and negative anchors are constructed from different sampling units (intra-CPA byte-identical pairs vs random inter-CPA pairs), so their relative prevalence in the combined set is an arbitrary construction rather than a population parameter; we therefore omit precision and $F_1$ from Table X. The 70/30 held-out Firm A fold of Section IV-F.2 additionally reports capture rates with Wilson 95% confidence intervals computed within the held-out fold, which is a valid population for rate inference.</w:t>
      </w:r>
    </w:p>
    <w:p>
      <w:pPr>
        <w:pStyle w:val="Heading2"/>
      </w:pPr>
      <w:r>
        <w:rPr>
          <w:color w:val="000000"/>
        </w:rPr>
        <w:t>K. Per-Document Classification</w:t>
      </w:r>
    </w:p>
    <w:p>
      <w:pPr>
        <w:spacing w:after="120"/>
      </w:pPr>
      <w:r>
        <w:rPr>
          <w:rFonts w:ascii="Times New Roman" w:hAnsi="Times New Roman"/>
          <w:sz w:val="20"/>
        </w:rPr>
        <w:t>The per-signature classifier operates at the signature level with operational thresholds anchored on whole-sample Firm A percentile heuristics: cos $&gt; 0.95$ (Firm A P7.5) for the cosine dimension and dHash$_\text{indep} \leq 5$ / $&gt; 15$ (Firm A median+P75 / style-consistency ceiling) for the structural dimension. This percentile-based anchor is the natural choice given the continuous-spectrum shape of the per-signature similarity distribution documented in Section IV-D; sensitivity to nearby alternatives is reported in Section IV-F.3. All dHash references in this section refer to the independent-minimum dHash defined in Section III-G—the smallest Hamming distance from a signature to any other same-CPA signature. We use a single dHash statistic throughout the operational classifier and the supporting capture-rate analyses (Tables IX, XI, XII, XVI), which keeps the classifier definition and its empirical evaluation arithmetically consistent.</w:t>
      </w:r>
    </w:p>
    <w:p>
      <w:pPr>
        <w:spacing w:after="120"/>
      </w:pPr>
      <w:r>
        <w:rPr>
          <w:rFonts w:ascii="Times New Roman" w:hAnsi="Times New Roman"/>
          <w:sz w:val="20"/>
        </w:rPr>
        <w:t>We assign each signature to one of five signature-level categories using convergent evidence from both descriptors:</w:t>
      </w:r>
    </w:p>
    <w:p>
      <w:pPr>
        <w:pStyle w:val="ListNumber"/>
      </w:pPr>
      <w:r>
        <w:rPr>
          <w:rFonts w:ascii="Times New Roman" w:hAnsi="Times New Roman"/>
          <w:sz w:val="20"/>
        </w:rPr>
        <w:t>High-confidence non-hand-signed: Cosine $&gt; 0.95$ AND $\text{dHash}_\text{indep} \leq 5$.</w:t>
      </w:r>
    </w:p>
    <w:p>
      <w:pPr>
        <w:spacing w:after="120"/>
      </w:pPr>
      <w:r>
        <w:rPr>
          <w:rFonts w:ascii="Times New Roman" w:hAnsi="Times New Roman"/>
          <w:sz w:val="20"/>
        </w:rPr>
        <w:t>Both descriptors converge on strong replication evidence.</w:t>
      </w:r>
    </w:p>
    <w:p>
      <w:pPr>
        <w:pStyle w:val="ListNumber"/>
      </w:pPr>
      <w:r>
        <w:rPr>
          <w:rFonts w:ascii="Times New Roman" w:hAnsi="Times New Roman"/>
          <w:sz w:val="20"/>
        </w:rPr>
        <w:t>Moderate-confidence non-hand-signed: Cosine $&gt; 0.95$ AND $5 &lt; \text{dHash}_\text{indep} \leq 15$.</w:t>
      </w:r>
    </w:p>
    <w:p>
      <w:pPr>
        <w:spacing w:after="120"/>
      </w:pPr>
      <w:r>
        <w:rPr>
          <w:rFonts w:ascii="Times New Roman" w:hAnsi="Times New Roman"/>
          <w:sz w:val="20"/>
        </w:rPr>
        <w:t>Feature-level evidence is strong; structural similarity is present but below the high-confidence cutoff, potentially due to scan variations.</w:t>
      </w:r>
    </w:p>
    <w:p>
      <w:pPr>
        <w:pStyle w:val="ListNumber"/>
      </w:pPr>
      <w:r>
        <w:rPr>
          <w:rFonts w:ascii="Times New Roman" w:hAnsi="Times New Roman"/>
          <w:sz w:val="20"/>
        </w:rPr>
        <w:t>High style consistency: Cosine $&gt; 0.95$ AND $\text{dHash}_\text{indep} &gt; 15$.</w:t>
      </w:r>
    </w:p>
    <w:p>
      <w:pPr>
        <w:spacing w:after="120"/>
      </w:pPr>
      <w:r>
        <w:rPr>
          <w:rFonts w:ascii="Times New Roman" w:hAnsi="Times New Roman"/>
          <w:sz w:val="20"/>
        </w:rPr>
        <w:t>High feature-level similarity without structural corroboration—consistent with a CPA who signs very consistently but not via image reproduction.</w:t>
      </w:r>
    </w:p>
    <w:p>
      <w:pPr>
        <w:pStyle w:val="ListNumber"/>
      </w:pPr>
      <w:r>
        <w:rPr>
          <w:rFonts w:ascii="Times New Roman" w:hAnsi="Times New Roman"/>
          <w:sz w:val="20"/>
        </w:rPr>
        <w:t>Uncertain: Cosine between the all-pairs intra/inter KDE crossover (0.837) and 0.95 without sufficient convergent evidence for classification in either direction.</w:t>
      </w:r>
    </w:p>
    <w:p>
      <w:pPr>
        <w:pStyle w:val="ListNumber"/>
      </w:pPr>
      <w:r>
        <w:rPr>
          <w:rFonts w:ascii="Times New Roman" w:hAnsi="Times New Roman"/>
          <w:sz w:val="20"/>
        </w:rPr>
        <w:t>Likely hand-signed: Cosine below the all-pairs KDE crossover threshold.</w:t>
      </w:r>
    </w:p>
    <w:p>
      <w:pPr>
        <w:spacing w:after="120"/>
      </w:pPr>
      <w:r>
        <w:rPr>
          <w:rFonts w:ascii="Times New Roman" w:hAnsi="Times New Roman"/>
          <w:sz w:val="20"/>
        </w:rPr>
        <w:t>We note three conventions about the thresholds. First, the cosine cutoff $0.95$ corresponds to approximately the whole-sample Firm A P7.5 of the per-signature best-match cosine distribution—that is, 92.5% of whole-sample Firm A signatures exceed this cutoff and 7.5% fall at or below it (Section III-H)—chosen as a round-number lower-tail boundary whose complement (92.5% above) has a transparent interpretation in the whole-sample reference distribution; the cosine crossover $0.837$ is the all-pairs intra/inter KDE crossover; both are derived from whole-sample distributions rather than from the 70% calibration fold, so the classifier inherits its operational cosine cuts from the whole-sample Firm A and all-pairs distributions. Section IV-F.3 reports a sensitivity check confirming that replacing $0.95$ with the slightly stricter Firm A P5 percentile $0.941$ alters aggregate firm-level capture rates by at most $\approx 1.2$ percentage points, so the round-number heuristic is robust to nearby percentile-based alternatives. Section IV-F.2 reports both calibration-fold and held-out-fold capture rates for this classifier so that fold-level sampling variance is visible. Second, the dHash cutoffs $\leq 5$ and $&gt; 15$ are chosen from the whole-sample Firm A $\text{dHash}_\text{indep}$ distribution: $\leq 5$ captures the upper tail of the high-similarity mode (whole-sample Firm A median $\text{dHash}_\text{indep} = 2$, P75 $\approx 4$, so $\leq 5$ is the band immediately above median), while $&gt; 15$ marks the regime in which independent-minimum structural similarity is no longer indicative of image reproduction. Third, the signature-level threshold-estimator outputs of Section IV-D (KDE antimode, Beta-mixture and logit-Gaussian crossings, BD/McCrary diagnostic) are not the operational thresholds of this classifier: they are descriptive characterisation of the per-signature similarity distribution, and Section IV-D shows they do not converge to a clean two-mechanism boundary at the per-signature level—which is why the operational cosine cut is anchored on the whole-sample Firm A percentile rather than on any mixture-fit crossing.</w:t>
      </w:r>
    </w:p>
    <w:p>
      <w:pPr>
        <w:spacing w:after="120"/>
      </w:pPr>
      <w:r>
        <w:rPr>
          <w:rFonts w:ascii="Times New Roman" w:hAnsi="Times New Roman"/>
          <w:sz w:val="20"/>
        </w:rPr>
        <w:t>Because each audit report typically carries two certifying-CPA signatures (Section III-D), we aggregate signature-level outcomes to document-level labels using a worst-case rule: the document inherits the most-replication-consistent signature label (i.e., among the two signatures, the label rank ordered High-confidence $&gt;$ Moderate-confidence $&gt;$ Style-consistency $&gt;$ Uncertain $&gt;$ Likely-hand-signed determines the document's classification). This rule is consistent with the detection goal of flagging any potentially non-hand-signed report rather than requiring all signatures on the report to converge.</w:t>
      </w:r>
    </w:p>
    <w:p>
      <w:pPr>
        <w:pStyle w:val="Heading2"/>
      </w:pPr>
      <w:r>
        <w:rPr>
          <w:color w:val="000000"/>
        </w:rPr>
        <w:t>L. Data Source and Firm Anonymization</w:t>
      </w:r>
    </w:p>
    <w:p>
      <w:pPr>
        <w:spacing w:after="120"/>
      </w:pPr>
      <w:r>
        <w:rPr>
          <w:rFonts w:ascii="Times New Roman" w:hAnsi="Times New Roman"/>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pStyle w:val="Heading2"/>
      </w:pPr>
      <w:r>
        <w:rPr>
          <w:color w:val="000000"/>
        </w:rPr>
        <w:t>A. Experimental Setup</w:t>
      </w:r>
    </w:p>
    <w:p>
      <w:pPr>
        <w:spacing w:after="120"/>
      </w:pPr>
      <w:r>
        <w:rPr>
          <w:rFonts w:ascii="Times New Roman" w:hAnsi="Times New Roman"/>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practical validation: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pStyle w:val="Heading2"/>
      </w:pPr>
      <w:r>
        <w:rPr>
          <w:color w:val="000000"/>
        </w:rPr>
        <w:t>C. All-Pairs Intra-vs-Inter Class Distribution Analysis</w:t>
      </w:r>
    </w:p>
    <w:p>
      <w:pPr>
        <w:spacing w:after="120"/>
      </w:pPr>
      <w:r>
        <w:rPr>
          <w:rFonts w:ascii="Times New Roman" w:hAnsi="Times New Roman"/>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per-document classification (Section III-K). Table IV summarizes the distributional statistics.</w:t>
      </w:r>
    </w:p>
    <w:p>
      <w:pPr>
        <w:spacing w:after="120"/>
      </w:pPr>
      <w:r>
        <w:rPr>
          <w:rFonts w:ascii="Times New Roman" w:hAnsi="Times New Roman"/>
          <w:sz w:val="20"/>
        </w:rPr>
        <w:t>Both distributions are left-skewed and leptokurtic. Shapiro-Wilk and Kolmogorov-Smirnov tests rejected normality for both ($p &lt; 0.001$), confirming that parametric thresholds based on normality assumptions would be inappropriate. Distribution fitting identified the lognormal distribution as the best parametric fit (lowest AIC) for both classes, though we use this result only descriptively; all subsequent threshold-estimator outputs reported in Section IV-D are derived via the methods of Section III-I to avoid single-family distributional assumptions.</w:t>
      </w:r>
    </w:p>
    <w:p>
      <w:pPr>
        <w:spacing w:after="120"/>
      </w:pPr>
      <w:r>
        <w:rPr>
          <w:rFonts w:ascii="Times New Roman" w:hAnsi="Times New Roman"/>
          <w:sz w:val="20"/>
        </w:rPr>
        <w:t>The KDE crossover—where the two density functions intersect—was located at 0.837 (Table V). Under equal prior probabilities and equal misclassification costs, this crossover approximates the Bayes-optimal boundary between the two classes. Statistical tests confirmed significant separation between the two distributions (Cohen's $d = 0.669$, Mann-Whitney [36] $p &lt; 0.001$, K-S 2-sample $p &lt; 0.001$).</w:t>
      </w:r>
    </w:p>
    <w:p>
      <w:pPr>
        <w:spacing w:after="120"/>
      </w:pPr>
      <w:r>
        <w:rPr>
          <w:rFonts w:ascii="Times New Roman" w:hAnsi="Times New Roman"/>
          <w:sz w:val="20"/>
        </w:rPr>
        <w:t>We emphasize that pairwise observations are not independent—the same signature participates in multiple pairs—which inflates the effective sample size and renders $p$-values unreliable as measures of evidence strength. We therefore rely primarily on Cohen's $d$ as an effect-size measure that is less sensitive to sample size. A Cohen's $d$ of 0.669 indicates a medium effect size [29], confirming that the distributional difference is practically meaningful, not merely an artifact of the large sample count.</w:t>
      </w:r>
    </w:p>
    <w:p>
      <w:pPr>
        <w:pStyle w:val="Heading2"/>
      </w:pPr>
      <w:r>
        <w:rPr>
          <w:color w:val="000000"/>
        </w:rPr>
        <w:t>D. Signature-Level Distributional Characterisation</w:t>
      </w:r>
    </w:p>
    <w:p>
      <w:pPr>
        <w:spacing w:after="120"/>
      </w:pPr>
      <w:r>
        <w:rPr>
          <w:rFonts w:ascii="Times New Roman" w:hAnsi="Times New Roman"/>
          <w:sz w:val="20"/>
        </w:rPr>
        <w:t>This section applies the threshold-estimator and density-smoothness diagnostic of Section III-I to the per-signature similarity distribution. The joint reading is that per-signature similarity is a continuous quality spectrum rather than a clean two-mechanism mixture, which is why the operational classifier (Section III-K) anchors its cosine cut on the whole-sample Firm A P7.5 percentile rather than on any mixture-fit crossing.</w:t>
      </w:r>
    </w:p>
    <w:p>
      <w:pPr>
        <w:pStyle w:val="Heading3"/>
      </w:pPr>
      <w:r>
        <w:rPr>
          <w:color w:val="000000"/>
        </w:rPr>
        <w:t>1) Hartigan Dip Test: Unimodality at the Signature Level</w:t>
      </w:r>
    </w:p>
    <w:p>
      <w:pPr>
        <w:spacing w:after="120"/>
      </w:pPr>
      <w:r>
        <w:rPr>
          <w:rFonts w:ascii="Times New Roman" w:hAnsi="Times New Roman"/>
          <w:sz w:val="20"/>
        </w:rPr>
        <w:t>Applying the Hartigan &amp; Hartigan dip test [37] to the per-signature best-match distributions reveals a critical structural finding (Table V). The $N = 168{,}740$ count used in Table V and in the downstream same-CPA per-signature best-match analyses (Tables V and XII, and the Firm-A per-signature rows of Tables XIII and XVIII) is $15$ signatures smaller than the $168{,}755$ CPA-matched count reported in Table III: these $15$ signatures belong to CPAs with exactly one signature in the entire corpus, for whom no same-CPA pairwise best-match statistic can be computed, and are therefore excluded from all same-CPA similarity analyses.</w:t>
      </w:r>
    </w:p>
    <w:p>
      <w:pPr>
        <w:spacing w:after="120"/>
      </w:pPr>
      <w:r>
        <w:rPr>
          <w:rFonts w:ascii="Times New Roman" w:hAnsi="Times New Roman"/>
          <w:sz w:val="20"/>
        </w:rPr>
        <w:t>Firm A's per-signature cosine distribution is unimodal ($p = 0.17$), reflecting a single dominant generative mechanism (non-hand-signing) with a long left tail attributable to within-firm heterogeneity in signing outputs (Section III-G discusses the scope of partner-level claims). The all-CPA cosine distribution, which mixes many firms with heterogeneous signing practices, is multimodal ($p &lt; 0.001$). The Firm A unimodal-long-tail finding is the structural evidence that supports the replication-dominated framing (Section III-H): a single dominant mechanism plus residual within-firm heterogeneity, rather than two cleanly separated mechanisms.</w:t>
      </w:r>
    </w:p>
    <w:p>
      <w:pPr>
        <w:pStyle w:val="Heading3"/>
      </w:pPr>
      <w:r>
        <w:rPr>
          <w:color w:val="000000"/>
        </w:rPr>
        <w:t>2) Burgstahler-Dichev / McCrary Density-Smoothness Diagnostic</w:t>
      </w:r>
    </w:p>
    <w:p>
      <w:pPr>
        <w:spacing w:after="120"/>
      </w:pPr>
      <w:r>
        <w:rPr>
          <w:rFonts w:ascii="Times New Roman" w:hAnsi="Times New Roman"/>
          <w:sz w:val="20"/>
        </w:rPr>
        <w:t>Applying the BD/McCrary procedure (Section III-I.3) to the per-signature cosine distribution yields a nominally significant $Z^- \rightarrow Z^+$ transition at cosine 0.985 for Firm A and 0.985 for the full sample; the min-dHash distributions exhibit a transition at Hamming distance 2 for both Firm A and the full sample under the bin width ($0.005$ / $1$) used here. Two cautions, however, prevent us from treating these signature-level transitions as thresholds. First, the cosine transition at 0.985 lies inside the non-hand-signed mode rather than at the separation between two mechanisms, consistent with the dip-test finding that per-signature cosine is not cleanly bimodal. Second, Appendix A documents that the signature-level transition locations are not bin-width-stable (Firm A cosine drifts across 0.987, 0.985, 0.980, 0.975 as the bin width is widened from 0.003 to 0.015, and full-sample dHash transitions drift across 2, 10, 9 as bin width grows from 1 to 3), which is characteristic of a histogram-resolution artifact rather than of a genuine density discontinuity between two mechanisms. We therefore use BD/McCrary as a density-smoothness diagnostic rather than as an independent threshold estimator.</w:t>
      </w:r>
    </w:p>
    <w:p>
      <w:pPr>
        <w:pStyle w:val="Heading3"/>
      </w:pPr>
      <w:r>
        <w:rPr>
          <w:color w:val="000000"/>
        </w:rPr>
        <w:t>3) Beta Mixture at Signature Level: A Forced Fit</w:t>
      </w:r>
    </w:p>
    <w:p>
      <w:pPr>
        <w:spacing w:after="120"/>
      </w:pPr>
      <w:r>
        <w:rPr>
          <w:rFonts w:ascii="Times New Roman" w:hAnsi="Times New Roman"/>
          <w:sz w:val="20"/>
        </w:rPr>
        <w:t>Fitting 2- and 3-component Beta mixtures to Firm A's per-signature cosine via EM yields a clear BIC preference for the 3-component fit ($\Delta\text{BIC} = 381$), with a parallel preference under the logit-GMM robustness check. For the full-sample cosine the 3-component fit is likewise strongly preferred ($\Delta\text{BIC} = 10{,}175$). Under the forced 2-component fit the Firm A Beta crossing lies at 0.977 and the logit-GMM crossing at 0.999—values sharply inconsistent with each other, indicating that the 2-component parametric structure is not supported by the data. Under the full-sample 2-component forced fit no Beta crossing is identified; the logit-GMM crossing is at 0.980.</w:t>
      </w:r>
    </w:p>
    <w:p>
      <w:pPr>
        <w:pStyle w:val="Heading3"/>
      </w:pPr>
      <w:r>
        <w:rPr>
          <w:color w:val="000000"/>
        </w:rPr>
        <w:t>4) Joint Reading of the Three Diagnostics</w:t>
      </w:r>
    </w:p>
    <w:p>
      <w:pPr>
        <w:spacing w:after="120"/>
      </w:pPr>
      <w:r>
        <w:rPr>
          <w:rFonts w:ascii="Times New Roman" w:hAnsi="Times New Roman"/>
          <w:sz w:val="20"/>
        </w:rPr>
        <w:t>The three diagnostics agree that per-signature similarity does not form a clean two-mechanism mixture: (i) the Hartigan dip test fails to reject unimodality for Firm A and rejects it for the heterogeneous-firm pooled sample; (ii) BIC strongly prefers a 3-component over a 2-component Beta fit, so the 2-component crossing is a forced fit and the Beta-vs-logit-Gaussian disagreement (0.977 vs 0.999 for Firm A) reflects parametric-form sensitivity rather than a stable two-mechanism boundary; (iii) the BD/McCrary procedure locates its candidate transition inside the non-hand-signed mode rather than between modes, and the transition is not bin-width-stable.</w:t>
      </w:r>
    </w:p>
    <w:p>
      <w:pPr>
        <w:spacing w:after="120"/>
      </w:pPr>
      <w:r>
        <w:rPr>
          <w:rFonts w:ascii="Times New Roman" w:hAnsi="Times New Roman"/>
          <w:sz w:val="20"/>
        </w:rPr>
        <w:t>Table VI summarises the signature-level threshold-estimator outputs for cross-method comparison.</w:t>
      </w:r>
    </w:p>
    <w:p>
      <w:pPr>
        <w:spacing w:after="120"/>
      </w:pPr>
      <w:r>
        <w:rPr>
          <w:rFonts w:ascii="Times New Roman" w:hAnsi="Times New Roman"/>
          <w:sz w:val="20"/>
        </w:rPr>
        <w:t>Non-hand-signed replication quality is therefore best read as a continuous spectrum produced by firm-specific reproduction technologies (administrative stamping in early years, firm-level e-signing later) acting on a common stored exemplar. This finding has a direct methodological pay-off: it is why the operational cosine cut is anchored on the whole-sample Firm A P7.5 percentile (Section III-K), and it is why the byte-level pixel-identity anchor (Section IV-F.1) is the natural threshold-free positive reference for downstream validation.</w:t>
      </w:r>
    </w:p>
    <w:p>
      <w:pPr>
        <w:pStyle w:val="Heading2"/>
      </w:pPr>
      <w:r>
        <w:rPr>
          <w:color w:val="000000"/>
        </w:rPr>
        <w:t>E. Calibration Validation with Firm A</w:t>
      </w:r>
    </w:p>
    <w:p>
      <w:pPr>
        <w:spacing w:after="120"/>
      </w:pPr>
      <w:r>
        <w:rPr>
          <w:rFonts w:ascii="Times New Roman" w:hAnsi="Times New Roman"/>
          <w:sz w:val="20"/>
        </w:rPr>
        <w:t>Fig. 3 presents the per-signature cosine and dHash distributions of Firm A compared to the overall population. Table IX reports the proportion of Firm A signatures crossing each candidate threshold; these rates play the role of calibration-validation metrics (what fraction of a known replication-dominated population does each threshold capture?).</w:t>
      </w:r>
    </w:p>
    <w:p>
      <w:pPr>
        <w:jc w:val="center"/>
      </w:pPr>
      <w:r>
        <w:drawing>
          <wp:inline xmlns:a="http://schemas.openxmlformats.org/drawingml/2006/main" xmlns:pic="http://schemas.openxmlformats.org/drawingml/2006/picture">
            <wp:extent cx="3200400" cy="2241563"/>
            <wp:docPr id="2" name="Picture 2"/>
            <wp:cNvGraphicFramePr>
              <a:graphicFrameLocks noChangeAspect="1"/>
            </wp:cNvGraphicFramePr>
            <a:graphic>
              <a:graphicData uri="http://schemas.openxmlformats.org/drawingml/2006/picture">
                <pic:pic>
                  <pic:nvPicPr>
                    <pic:cNvPr id="0" name="fig3_firm_a_calibration.png"/>
                    <pic:cNvPicPr/>
                  </pic:nvPicPr>
                  <pic:blipFill>
                    <a:blip r:embed="rId10"/>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3. Firm A per-signature cosine and dHash distributions against the overall CPA population.</w:t>
      </w:r>
    </w:p>
    <w:p>
      <w:pPr>
        <w:spacing w:after="120"/>
      </w:pPr>
      <w:r>
        <w:rPr>
          <w:rFonts w:ascii="Times New Roman" w:hAnsi="Times New Roman"/>
          <w:sz w:val="20"/>
        </w:rPr>
        <w:t>Table IX is a whole-sample consistency check rather than an external validation: the thresholds 0.95, dHash median, and dHash 95th percentile are themselves anchored to the whole-sample Firm A distribution described in Section III-K (the 70/30 calibration-fold thresholds of Table XI are separate and slightly different, e.g., calibration-fold cosine P5 = 0.9407 rather than the whole-sample heuristic 0.95). The dual rule cosine $&gt; 0.95$ AND dHash $\leq 8$ captures 89.95% of Firm A, a value that is consistent with the dip-test-confirmed unimodal-long-tail shape of Firm A's per-signature cosine distribution (Section IV-D.1) and the 92.5% / 7.5% signature-level split (Section III-H). Section IV-F.2 reports the corresponding rates on the 30% Firm A hold-out fold, which provides the external check these whole-sample rates cannot.</w:t>
      </w:r>
    </w:p>
    <w:p>
      <w:pPr>
        <w:pStyle w:val="Heading2"/>
      </w:pPr>
      <w:r>
        <w:rPr>
          <w:color w:val="000000"/>
        </w:rPr>
        <w:t>F. Pixel-Identity, Inter-CPA, and Held-Out Firm A Validation</w:t>
      </w:r>
    </w:p>
    <w:p>
      <w:pPr>
        <w:spacing w:after="120"/>
      </w:pPr>
      <w:r>
        <w:rPr>
          <w:rFonts w:ascii="Times New Roman" w:hAnsi="Times New Roman"/>
          <w:sz w:val="20"/>
        </w:rPr>
        <w:t>We report three validation analyses corresponding to the anchors of Section III-J.</w:t>
      </w:r>
    </w:p>
    <w:p>
      <w:pPr>
        <w:pStyle w:val="Heading3"/>
      </w:pPr>
      <w:r>
        <w:rPr>
          <w:color w:val="000000"/>
        </w:rPr>
        <w:t>1) Pixel-Identity Positive Anchor with Inter-CPA Negative Anchor</w:t>
      </w:r>
    </w:p>
    <w:p>
      <w:pPr>
        <w:spacing w:after="120"/>
      </w:pPr>
      <w:r>
        <w:rPr>
          <w:rFonts w:ascii="Times New Roman" w:hAnsi="Times New Roman"/>
          <w:sz w:val="20"/>
        </w:rPr>
        <w:t>Of the 182,328 extracted signatures, 310 have a same-CPA nearest match that is byte-identical after crop and normalization (pixel-identical-to-closest = 1); these form the byte-identity positive anchor—a pair-level proof of image reuse that serves as conservative ground truth for non-hand-signed signatures, subject to the source-template edge case discussed in Section V-G. As the gold-negative anchor we sample 50,000 random cross-CPA signature pairs (inter-CPA cosine: mean $= 0.762$, $P_{95} = 0.884$, $P_{99} = 0.913$, max $= 0.988$). Because the positive and negative anchor populations are constructed from different sampling units (byte-identical same-CPA pairs vs random inter-CPA pairs), their relative prevalence in the combined anchor set is arbitrary, and precision / $F_1$ / recall therefore have no meaningful population interpretation. We accordingly report FAR with Wilson 95% confidence intervals against the large inter-CPA negative anchor in Table X. The primary quantity reported by Table X is FAR: the probability that a random pair of signatures from different CPAs exceeds the candidate threshold. We do not report an Equal Error Rate: EER is meaningful only when the positive and negative error-rate curves cross in a nontrivial interior region, but byte-identical positives all sit at cosine $\approx 1$ by construction, so FRR against that subset is trivially $0$ at every threshold below $1$. An EER calculation against this anchor would be arithmetic tautology rather than biometric performance, and we therefore omit it.</w:t>
      </w:r>
    </w:p>
    <w:p>
      <w:pPr>
        <w:spacing w:after="120"/>
      </w:pPr>
      <w:r>
        <w:rPr>
          <w:rFonts w:ascii="Times New Roman" w:hAnsi="Times New Roman"/>
          <w:sz w:val="20"/>
        </w:rPr>
        <w:t>Two caveats apply. First, the byte-identical positive anchor referenced above is a conservative subset of the true non-hand-signed population: it captures only those non-hand-signed signatures whose nearest match happens to be byte-identical, not those that are near-identical but not bytewise identical. A would-be FRR computed against this subset is definitionally $0$ at every threshold below $1$ (since byte-identical pairs have cosine $\approx 1$), so such an FRR is a mathematical boundary check rather than an empirical miss-rate estimate; we discuss the generalization limits of this conservative-subset framing in Section V-F. Second, the 0.945 / 0.95 thresholds are derived from the Firm A whole-sample and calibration-fold percentiles rather than from this anchor set, so the FAR values in Table X are post-hoc-fit-free evaluations of thresholds that were not chosen to optimize Table X. The very low FAR at the operational cut is therefore informative about specificity against a realistic inter-CPA negative population.</w:t>
      </w:r>
    </w:p>
    <w:p>
      <w:pPr>
        <w:pStyle w:val="Heading3"/>
      </w:pPr>
      <w:r>
        <w:rPr>
          <w:color w:val="000000"/>
        </w:rPr>
        <w:t>2) Held-Out Firm A Validation (within-Firm-A sampling variance disclosure)</w:t>
      </w:r>
    </w:p>
    <w:p>
      <w:pPr>
        <w:spacing w:after="120"/>
      </w:pPr>
      <w:r>
        <w:rPr>
          <w:rFonts w:ascii="Times New Roman" w:hAnsi="Times New Roman"/>
          <w:sz w:val="20"/>
        </w:rPr>
        <w:t>We split Firm A CPAs randomly 70 / 30 at the CPA level into a calibration fold (124 CPAs, 45,116 signatures) and a held-out fold (54 CPAs, 15,332 signatures). The total of 178 Firm A CPAs differs from the 180 in the Firm A registry by two CPAs whose signatures could not be matched to a single assigned-accountant record because of disambiguation ties in the CPA registry and which we therefore exclude from both folds; this handling is made explicit here. Thresholds are re-derived from calibration-fold percentiles only. Table XI reports both calibration-fold and held-out-fold capture rates with Wilson 95% CIs and a two-proportion $z$-test.</w:t>
      </w:r>
    </w:p>
    <w:p>
      <w:pPr>
        <w:spacing w:after="120"/>
      </w:pPr>
      <w:r>
        <w:rPr>
          <w:rFonts w:ascii="Times New Roman" w:hAnsi="Times New Roman"/>
          <w:sz w:val="20"/>
        </w:rPr>
        <w:t>Table XI reports both calibration-fold and held-out-fold capture rates with Wilson 95% CIs and a two-proportion $z$-test. We report fold-versus-fold comparisons rather than fold-versus-whole-sample comparisons, because the whole-sample rate is a weighted average of the two folds and therefore cannot, in general, fall inside the Wilson CI of either fold when the folds differ in rate; the correct generalization reference is the calibration fold, which produced the thresholds.</w:t>
      </w:r>
    </w:p>
    <w:p>
      <w:pPr>
        <w:spacing w:after="120"/>
      </w:pPr>
      <w:r>
        <w:rPr>
          <w:rFonts w:ascii="Times New Roman" w:hAnsi="Times New Roman"/>
          <w:sz w:val="20"/>
        </w:rPr>
        <w:t>Under this proper test the two extreme rules agree across folds (cosine $&gt; 0.837$ and $\text{dHash}_\text{indep} \leq 15$; both $p &gt; 0.7$). The operationally relevant rules in the 85–95% capture band differ between folds by 1–5 percentage points ($p &lt; 0.001$ given the $n \approx 45\text{k}/15\text{k}$ fold sizes). Both folds nevertheless sit in the same replication-dominated regime: every calibration-fold rate in the 85–99% range has a held-out counterpart in the 87–99% range, and the operational dual rule cosine $&gt; 0.95$ AND $\text{dHash}_\text{indep} \leq 8$ captures 89.40% of the calibration fold and 91.54% of the held-out fold. The modest fold gap is consistent with within-Firm-A heterogeneity in replication intensity: the random 30% CPA sample evidently contained proportionally more high-replication CPAs. We therefore interpret the held-out fold as confirming the qualitative finding (Firm A is strongly replication-dominated across both folds) while cautioning that exact rates carry fold-level sampling noise that a single 30% split cannot eliminate; the threshold-independent partner-ranking analysis (Section IV-F.2) is the cross-check that is robust to this fold variance.</w:t>
      </w:r>
    </w:p>
    <w:p>
      <w:pPr>
        <w:pStyle w:val="Heading3"/>
      </w:pPr>
      <w:r>
        <w:rPr>
          <w:color w:val="000000"/>
        </w:rPr>
        <w:t>3) Operational-Threshold Sensitivity: cos $&gt; 0.95$ vs cos $&gt; 0.945$</w:t>
      </w:r>
    </w:p>
    <w:p>
      <w:pPr>
        <w:spacing w:after="120"/>
      </w:pPr>
      <w:r>
        <w:rPr>
          <w:rFonts w:ascii="Times New Roman" w:hAnsi="Times New Roman"/>
          <w:sz w:val="20"/>
        </w:rPr>
        <w:t>The per-signature classifier (Section III-K) uses cos $&gt; 0.95$ as its operational cosine cut, anchored on the whole-sample Firm A P7.5 heuristic (i.e., 7.5% of whole-sample Firm A signatures lie at or below 0.95; see Section III-H). We report a sensitivity check in which this round-number cut is replaced by the slightly stricter calibration-fold P5 rounded value cos $&gt; 0.945$ (calibration-fold P5 = 0.9407, see Table XI). Table XII reports the five-way classifier output under each cut.</w:t>
      </w:r>
    </w:p>
    <w:p>
      <w:pPr>
        <w:spacing w:after="120"/>
      </w:pPr>
      <w:r>
        <w:rPr>
          <w:rFonts w:ascii="Times New Roman" w:hAnsi="Times New Roman"/>
          <w:sz w:val="20"/>
        </w:rPr>
        <w:t>At the aggregate firm-level, the operational dual rule cos $&gt; 0.95$ AND $\text{dHash}_\text{indep} \leq 8$ captures 89.95% of whole Firm A under the 0.95 cut and 91.14% under the 0.945 cut—a shift of 1.19 percentage points. At the per-signature categorization level, replacing 0.95 by 0.945 reclassifies 8,508 signatures (5.04% of the corpus) out of the Uncertain band; 6,095 of them migrate to Moderate-confidence non-hand-signed, 2,294 to High-confidence non-hand-signed, and 119 to High style consistency. The Likely-hand-signed category is unaffected because it depends only on the fixed all-pairs KDE crossover cosine $= 0.837$. The High-confidence non-hand-signed share grows from 45.62% to 46.98%.</w:t>
      </w:r>
    </w:p>
    <w:p>
      <w:pPr>
        <w:spacing w:after="120"/>
      </w:pPr>
      <w:r>
        <w:rPr>
          <w:rFonts w:ascii="Times New Roman" w:hAnsi="Times New Roman"/>
          <w:sz w:val="20"/>
        </w:rPr>
        <w:t>We interpret this sensitivity pattern as indicating that the classifier's aggregate and high-confidence output is robust to the choice of operational cut within a 0.005-cosine neighbourhood of the Firm A P7.5 anchor, and that the movement is concentrated at the Uncertain/Moderate-confidence boundary. The paper therefore retains cos $&gt; 0.95$ as the primary operational cut for transparency (round-number P7.5 of the whole-sample Firm A reference distribution) and reports the 0.945 results as a sensitivity check rather than as a deployed alternative.</w:t>
      </w:r>
    </w:p>
    <w:p>
      <w:pPr>
        <w:pStyle w:val="Heading2"/>
      </w:pPr>
      <w:r>
        <w:rPr>
          <w:color w:val="000000"/>
        </w:rPr>
        <w:t>G. Additional Firm A Benchmark Validation</w:t>
      </w:r>
    </w:p>
    <w:p>
      <w:pPr>
        <w:spacing w:after="120"/>
      </w:pPr>
      <w:r>
        <w:rPr>
          <w:rFonts w:ascii="Times New Roman" w:hAnsi="Times New Roman"/>
          <w:sz w:val="20"/>
        </w:rPr>
        <w:t>The capture rates of Section IV-E are a within-sample consistency check: they evaluate how well a threshold captures Firm A, but the thresholds themselves are anchored to Firm A's percentiles. This section reports three complementary analyses that go beyond the whole-sample capture rates. Subsection H.2 is fully threshold-independent (it uses only ordinal ranking). Subsection H.1 uses a fixed 0.95 cutoff but derives information from the longitudinal stability of rates rather than from the absolute rate at any single year. Subsection H.3 applies the calibrated classifier and is therefore a consistency check on the classifier's firm-level output rather than a threshold-free test; the informative quantity is the cross-firm gap rather than the absolute agreement rate at any one firm.</w:t>
      </w:r>
    </w:p>
    <w:p>
      <w:pPr>
        <w:pStyle w:val="Heading3"/>
      </w:pPr>
      <w:r>
        <w:rPr>
          <w:color w:val="000000"/>
        </w:rPr>
        <w:t>1) Year-by-Year Stability of the Firm A Left Tail</w:t>
      </w:r>
    </w:p>
    <w:p>
      <w:pPr>
        <w:spacing w:after="120"/>
      </w:pPr>
      <w:r>
        <w:rPr>
          <w:rFonts w:ascii="Times New Roman" w:hAnsi="Times New Roman"/>
          <w:sz w:val="20"/>
        </w:rPr>
        <w:t>Table XIII reports the proportion of Firm A signatures with per-signature best-match cosine below 0.95, disaggregated by fiscal year. Under the replication-dominated interpretation (Section III-H), this signature-level left-tail rate reflects within-firm heterogeneity in signing outputs at Firm A. Consistent with the scope-of-claims framing in Section III-G, we report the rate as a signature-level quantity without disaggregating the underlying mechanism (which may span a minority of hand-signing partners, multi-template replication workflows within the firm, or a combination); partner-level mechanism attribution is not attempted. Under the alternative hypothesis that the left tail is an artifact of scan or compression noise, the share should shrink as scanning and PDF-compression technology improved over 2013-2023.</w:t>
      </w:r>
    </w:p>
    <w:p>
      <w:pPr>
        <w:spacing w:after="120"/>
      </w:pPr>
      <w:r>
        <w:rPr>
          <w:rFonts w:ascii="Times New Roman" w:hAnsi="Times New Roman"/>
          <w:sz w:val="20"/>
        </w:rPr>
        <w:t>The left tail is stable at 6-13% throughout the sample period and shows no pre/post-2020 level shift: the 2013-2019 mean left-tail share is 8.26% and the 2020-2023 mean is 6.96%. The lowest observed share is in 2023 (3.75%), consistent with firm-level electronic signing systems producing more uniform output than earlier manual scanning-and-stamping, not less. This stability supports the replication-dominated framing: a persistent within-firm heterogeneity component is consistent with a Beta left tail that is stable across production technologies, whereas a noise-only explanation would predict a shrinking share as technology improved.</w:t>
      </w:r>
    </w:p>
    <w:p>
      <w:pPr>
        <w:pStyle w:val="Heading3"/>
      </w:pPr>
      <w:r>
        <w:rPr>
          <w:color w:val="000000"/>
        </w:rPr>
        <w:t>2) Partner-Level Similarity Ranking</w:t>
      </w:r>
    </w:p>
    <w:p>
      <w:pPr>
        <w:spacing w:after="120"/>
      </w:pPr>
      <w:r>
        <w:rPr>
          <w:rFonts w:ascii="Times New Roman" w:hAnsi="Times New Roman"/>
          <w:sz w:val="20"/>
        </w:rPr>
        <w:t>If Firm A applies firm-wide stamping while the other Big-4 firms use stamping only for a subset of partners, Firm A auditor-years should disproportionately occupy the top of the similarity distribution among all auditor-years (across all firms). We test this prediction directly.</w:t>
      </w:r>
    </w:p>
    <w:p>
      <w:pPr>
        <w:spacing w:after="120"/>
      </w:pPr>
      <w:r>
        <w:rPr>
          <w:rFonts w:ascii="Times New Roman" w:hAnsi="Times New Roman"/>
          <w:sz w:val="20"/>
        </w:rPr>
        <w:t>For each auditor-year (CPA $\times$ fiscal year) with at least 5 signatures we compute the mean best-match cosine similarity across the year's signatures, yielding 4,629 auditor-years across 2013-2023. Firm A accounts for 1,287 of these (27.8% baseline share). Table XIV reports per-firm occupancy of the top $K\%$ of the ranked distribution. The per-signature best-match cosine underlying each auditor-year mean is taken over the full same-CPA pool (Section III-G) and may match against signatures from other fiscal years, so the auditor-year mean reflects the year's signatures' position within the CPA's full-sample similarity structure rather than purely within-year similarity; a within-year-restricted sensitivity replication is a natural robustness check and is left to future work.</w:t>
      </w:r>
    </w:p>
    <w:p>
      <w:pPr>
        <w:spacing w:after="120"/>
      </w:pPr>
      <w:r>
        <w:rPr>
          <w:rFonts w:ascii="Times New Roman" w:hAnsi="Times New Roman"/>
          <w:sz w:val="20"/>
        </w:rPr>
        <w:t>Firm A occupies 95.9% of the top 10% and 90.1% of the top 25% of auditor-years by similarity, against its baseline share of 27.8%—a concentration ratio of 3.5$\times$ at the top decile and 3.2$\times$ at the top quartile. Year-by-year (Table XV), the top-10% Firm A share ranges from 88.4% (2020) to 100% (2013, 2014, 2017, 2018, 2019), showing that the concentration is stable across the sample period.</w:t>
      </w:r>
    </w:p>
    <w:p>
      <w:pPr>
        <w:spacing w:after="120"/>
      </w:pPr>
      <w:r>
        <w:rPr>
          <w:rFonts w:ascii="Times New Roman" w:hAnsi="Times New Roman"/>
          <w:sz w:val="20"/>
        </w:rPr>
        <w:t>This over-representation is consistent with firm-wide non-hand-signing practice at Firm A and is not derived from any threshold we subsequently calibrate. It therefore constitutes genuine cross-firm evidence for Firm A's benchmark status.</w:t>
      </w:r>
    </w:p>
    <w:p>
      <w:pPr>
        <w:pStyle w:val="Heading3"/>
      </w:pPr>
      <w:r>
        <w:rPr>
          <w:color w:val="000000"/>
        </w:rPr>
        <w:t>3) Intra-Report Consistency</w:t>
      </w:r>
    </w:p>
    <w:p>
      <w:pPr>
        <w:spacing w:after="120"/>
      </w:pPr>
      <w:r>
        <w:rPr>
          <w:rFonts w:ascii="Times New Roman" w:hAnsi="Times New Roman"/>
          <w:sz w:val="20"/>
        </w:rPr>
        <w:t>Taiwanese statutory audit reports are co-signed by two engagement partners (a primary and a secondary signer). Under firm-wide stamping practice at a given firm, both signers on the same report should receive the same signature-level classification. Disagreement between the two signers on a report is informative about whether the stamping practice is firm-wide or partner-specific.</w:t>
      </w:r>
    </w:p>
    <w:p>
      <w:pPr>
        <w:spacing w:after="120"/>
      </w:pPr>
      <w:r>
        <w:rPr>
          <w:rFonts w:ascii="Times New Roman" w:hAnsi="Times New Roman"/>
          <w:sz w:val="20"/>
        </w:rPr>
        <w:t>For each report with exactly two signatures and complete per-signature data (84,354 reports total: 83,970 single-firm reports, in which both signers are at the same firm, and 384 mixed-firm reports, in which the two signers are at different firms), we classify each signature using the dual-descriptor rules of Section III-K and record whether the two classifications agree. Table XVI reports per-firm intra-report agreement for the 83,970 single-firm reports only (firm-assignment defined by the common firm identity of both signers); the 384 mixed-firm reports (0.46% of the 2-signature corpus) are excluded from the intra-report analysis because firm-level agreement is not well defined when the two signers are at different firms.</w:t>
      </w:r>
    </w:p>
    <w:p>
      <w:pPr>
        <w:spacing w:after="120"/>
      </w:pPr>
      <w:r>
        <w:rPr>
          <w:rFonts w:ascii="Times New Roman" w:hAnsi="Times New Roman"/>
          <w:sz w:val="20"/>
        </w:rPr>
        <w:t>Firm A achieves 89.9% intra-report agreement, with 87.5% of Firm A reports having both signers classified as non-hand-signed and only 4 reports (0.01%) having both classified as likely hand-signed. The other Big-4 firms (B, C, D) and non-Big-4 firms cluster at 62-67% agreement, a 23-28 percentage-point gap. This sharp discontinuity in intra-report agreement between Firm A and the other firms is the pattern predicted by firm-wide (rather than partner-specific) non-hand-signing practice.</w:t>
      </w:r>
    </w:p>
    <w:p>
      <w:pPr>
        <w:spacing w:after="120"/>
      </w:pPr>
      <w:r>
        <w:rPr>
          <w:rFonts w:ascii="Times New Roman" w:hAnsi="Times New Roman"/>
          <w:sz w:val="20"/>
        </w:rPr>
        <w:t>We note that this test uses the calibrated classifier of Section III-K rather than a threshold-free statistic; the substantive evidence lies in the cross-firm gap between Firm A and the other firms rather than in the absolute agreement rate at any single firm, and that gap is robust to moderate shifts in the absolute cutoff so long as the cutoff is applied uniformly across firms.</w:t>
      </w:r>
    </w:p>
    <w:p>
      <w:pPr>
        <w:pStyle w:val="Heading2"/>
      </w:pPr>
      <w:r>
        <w:rPr>
          <w:color w:val="000000"/>
        </w:rPr>
        <w:t>H. Classification Results</w:t>
      </w:r>
    </w:p>
    <w:p>
      <w:pPr>
        <w:spacing w:after="120"/>
      </w:pPr>
      <w:r>
        <w:rPr>
          <w:rFonts w:ascii="Times New Roman" w:hAnsi="Times New Roman"/>
          <w:sz w:val="20"/>
        </w:rPr>
        <w:t>Table XVII presents the final classification results under the dual-descriptor framework with Firm A-calibrated thresholds for 84,386 documents. The document count (84,386) differs from the 85,042 documents with any YOLO detection (Table III) because 656 documents carry only a single detected signature, for which no same-CPA pairwise comparison and therefore no best-match cosine / min dHash statistic is available; those documents are excluded from the classification reported here. We emphasize that the document-level proportions below reflect the worst-case aggregation rule of Section III-K: a report carrying one stamped signature and one hand-signed signature is labeled with the most-replication-consistent of the two signature-level verdicts. Document-level rates therefore represent the share of reports in which at least one signature is non-hand-signed rather than the share in which both are; the intra-report agreement analysis of Section IV-F.3 (Table XVI) reports how frequently the two co-signers share the same signature-level label within each firm, so that readers can judge what fraction of the non-hand-signed document-level share corresponds to fully non-hand-signed reports versus mixed reports.</w:t>
      </w:r>
    </w:p>
    <w:p>
      <w:pPr>
        <w:spacing w:after="120"/>
      </w:pPr>
      <w:r>
        <w:rPr>
          <w:rFonts w:ascii="Times New Roman" w:hAnsi="Times New Roman"/>
          <w:sz w:val="20"/>
        </w:rPr>
        <w:t>Within the 71,656 documents exceeding cosine $0.95$, the dHash dimension stratifies them into three distinct populations: 29,529 (41.2%) show converging structural evidence of non-hand-signing (dHash $\leq 5$); 36,994 (51.7%) show partial structural similarity (dHash in $[6, 15]$) consistent with replication degraded by scan variations; and 5,133 (7.2%) show no structural corroboration (dHash $&gt; 15$), suggesting high signing consistency rather than image reproduction. A cosine-only classifier would treat all 71,656 identically; the dual-descriptor framework separates them into populations with fundamentally different interpretations.</w:t>
      </w:r>
    </w:p>
    <w:p>
      <w:pPr>
        <w:pStyle w:val="Heading3"/>
      </w:pPr>
      <w:r>
        <w:rPr>
          <w:color w:val="000000"/>
        </w:rPr>
        <w:t>1) Firm A Capture Profile (Consistency Check)</w:t>
      </w:r>
    </w:p>
    <w:p>
      <w:pPr>
        <w:spacing w:after="120"/>
      </w:pPr>
      <w:r>
        <w:rPr>
          <w:rFonts w:ascii="Times New Roman" w:hAnsi="Times New Roman"/>
          <w:sz w:val="20"/>
        </w:rPr>
        <w:t>96.9% of Firm A's documents fall into the high- or moderate-confidence non-hand-signed categories, 0.6% into high-style-consistency, and 2.5% into uncertain. This pattern is consistent with the replication-dominated framing: the large majority is captured by non-hand-signed rules, while the small residual is consistent with the within-firm heterogeneity implied by the dip-test-confirmed unimodal-long-tail shape of Firm A's per-signature cosine distribution (Section IV-D.1) and the 7.5% signature-level left tail (Section III-H). The near-zero "likely hand-signed" rate (4 of 30,226 Firm A documents, 0.013%; the 30,226 count here is documents with at least one Firm A signer under the 84,386-document classification cohort, which differs from the 30,222 single-firm two-signer subset in Table XVI by 4 reports) indicates that the within-firm heterogeneity implied by the 7.5% signature-level left tail (Section IV-D) does not project into the lowest-cosine document-level category under the dual-descriptor rules; it is absorbed instead into the uncertain or high-style-consistency categories at this threshold set. We note that because the non-hand-signed thresholds are themselves calibrated to Firm A's empirical percentiles (Section III-H), these rates are an internal consistency check rather than an external validation; the held-out Firm A validation of Section IV-F.2 is the corresponding external check.</w:t>
      </w:r>
    </w:p>
    <w:p>
      <w:pPr>
        <w:pStyle w:val="Heading3"/>
      </w:pPr>
      <w:r>
        <w:rPr>
          <w:color w:val="000000"/>
        </w:rPr>
        <w:t>2) Cross-Firm Comparison of Dual-Descriptor Convergence</w:t>
      </w:r>
    </w:p>
    <w:p>
      <w:pPr>
        <w:spacing w:after="120"/>
      </w:pPr>
      <w:r>
        <w:rPr>
          <w:rFonts w:ascii="Times New Roman" w:hAnsi="Times New Roman"/>
          <w:sz w:val="20"/>
        </w:rPr>
        <w:t>Among non-Firm-A CPAs with cosine $&gt; 0.95$, only 11.3% exhibit dHash $\leq 5$, compared to 58.7% for Firm A—a five-fold difference that demonstrates the discriminative power of the structural verification layer. This cross-firm gap is consistent with firm-wide non-hand-signing practice at Firm A versus partner-specific or per-engagement replication at other firms; it complements the partner-level ranking (Section IV-F.2) and intra-report consistency (Section IV-F.3) findings.</w:t>
      </w:r>
    </w:p>
    <w:p>
      <w:pPr>
        <w:pStyle w:val="Heading2"/>
      </w:pPr>
      <w:r>
        <w:rPr>
          <w:color w:val="000000"/>
        </w:rPr>
        <w:t>I. Ablation Study: Feature Backbone Comparison</w:t>
      </w:r>
    </w:p>
    <w:p>
      <w:pPr>
        <w:spacing w:after="120"/>
      </w:pPr>
      <w:r>
        <w:rPr>
          <w:rFonts w:ascii="Times New Roman" w:hAnsi="Times New Roman"/>
          <w:sz w:val="20"/>
        </w:rPr>
        <w:t>To validate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Table XVIII presents the comparison.</w:t>
      </w:r>
    </w:p>
    <w:p>
      <w:pPr>
        <w:jc w:val="center"/>
      </w:pPr>
      <w:r>
        <w:drawing>
          <wp:inline xmlns:a="http://schemas.openxmlformats.org/drawingml/2006/main" xmlns:pic="http://schemas.openxmlformats.org/drawingml/2006/picture">
            <wp:extent cx="5943600" cy="1724921"/>
            <wp:docPr id="3" name="Picture 3"/>
            <wp:cNvGraphicFramePr>
              <a:graphicFrameLocks noChangeAspect="1"/>
            </wp:cNvGraphicFramePr>
            <a:graphic>
              <a:graphicData uri="http://schemas.openxmlformats.org/drawingml/2006/picture">
                <pic:pic>
                  <pic:nvPicPr>
                    <pic:cNvPr id="0" name="fig4_ablation.png"/>
                    <pic:cNvPicPr/>
                  </pic:nvPicPr>
                  <pic:blipFill>
                    <a:blip r:embed="rId11"/>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after="120"/>
      </w:pPr>
      <w:r>
        <w:rPr>
          <w:rFonts w:ascii="Times New Roman" w:hAnsi="Times New Roman"/>
          <w:sz w:val="20"/>
        </w:rPr>
        <w:t>EfficientNet-B0 achieves the highest Cohen's $d$ (0.707), indicating the greatest statistical separation between intra-class and inter-class distributions. However, it also exhibits the widest distributional spread (intra std $= 0.123$ vs. ResNet-50's $0.098$), resulting in lower per-sample classification confidence.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sz w:val="20"/>
        </w:rPr>
        <w:t>ResNet-50 provides the best overall balance: (1) Cohen's $d$ of 0.669 is competitive with EfficientNet-B0's 0.707; (2) its tighter distributions yield more reliable individual classifications; (3) the highest Firm A all-pairs 1st percentile (0.543) indicates that known-replication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sz w:val="20"/>
        </w:rPr>
        <w:t>Our results highlight the importance of distinguishing non-hand-signing detection from the well-studied signature forgery detection problem. In forgery detection, the challenge lies in modeling the variability of skilled forgers who produce plausible imitations of a target signature. In non-hand-signing detection the signer's identity is not in question; the challenge is distinguishing between legitimate intra-signer consistency (a CPA who signs similarly each time) and image-level reproduction of a stored signature (a CPA whose signature on each report is a byte-level or near-byte-level copy of a single source image).</w:t>
      </w:r>
    </w:p>
    <w:p>
      <w:pPr>
        <w:spacing w:after="120"/>
      </w:pPr>
      <w:r>
        <w:rPr>
          <w:rFonts w:ascii="Times New Roman" w:hAnsi="Times New Roman"/>
          <w:sz w:val="20"/>
        </w:rPr>
        <w:t>This distinction has direct methodological consequences. Forgery detection systems optimize for inter-class discriminability—maximizing the gap between genuine and forged signatures. Non-hand-signing detection, by contrast, requires sensitivity to the upper tail of the intra-class similarity distribution, where the boundary between consistent handwriting and image reproduction becomes ambiguous. The dual-descriptor framework we propose—combining semantic-level features (cosine similarity) with structural-level features (dHash)—addresses this ambiguity in a way that single-descriptor approaches cannot.</w:t>
      </w:r>
    </w:p>
    <w:p>
      <w:pPr>
        <w:pStyle w:val="Heading2"/>
      </w:pPr>
      <w:r>
        <w:rPr>
          <w:color w:val="000000"/>
        </w:rPr>
        <w:t>B. Per-Signature Similarity is a Continuous Quality Spectrum</w:t>
      </w:r>
    </w:p>
    <w:p>
      <w:pPr>
        <w:spacing w:after="120"/>
      </w:pPr>
      <w:r>
        <w:rPr>
          <w:rFonts w:ascii="Times New Roman" w:hAnsi="Times New Roman"/>
          <w:sz w:val="20"/>
        </w:rPr>
        <w:t>A central empirical finding of this study is that per-signature similarity does not form a clean two-mechanism mixture (Section IV-D). Firm A's signature-level cosine is formally unimodal (Hartigan dip test $p = 0.17$) with a long left tail. The all-CPA signature-level cosine rejects unimodality ($p &lt; 0.001$), reflecting the heterogeneity of signing practices across firms, but its structure is not well approximated by a two-component Beta mixture: BIC clearly prefers a three-component fit ($\Delta\text{BIC} = 381$ for Firm A; $10{,}175$ for the full sample), and the forced 2-component Beta crossing and its logit-GMM robustness counterpart disagree sharply on the candidate threshold (0.977 vs. 0.999 for Firm A). The BD/McCrary discontinuity test locates its transition at cosine 0.985—inside the non-hand-signed mode rather than at a boundary between two mechanisms—and the transition is not bin-width-stable (Appendix A).</w:t>
      </w:r>
    </w:p>
    <w:p>
      <w:pPr>
        <w:spacing w:after="120"/>
      </w:pPr>
      <w:r>
        <w:rPr>
          <w:rFonts w:ascii="Times New Roman" w:hAnsi="Times New Roman"/>
          <w:sz w:val="20"/>
        </w:rPr>
        <w:t>Taken together, these results indicate that non-hand-signed signatures form a continuous quality spectrum rather than a discrete class cleanly separated from hand-signing. Replication quality varies continuously with scan equipment, PDF compression, stamp pressure, and firm-level e-signing system generation, producing a heavy-tailed distribution that no two-mechanism mixture explains at the signature level.</w:t>
      </w:r>
    </w:p>
    <w:p>
      <w:pPr>
        <w:spacing w:after="120"/>
      </w:pPr>
      <w:r>
        <w:rPr>
          <w:rFonts w:ascii="Times New Roman" w:hAnsi="Times New Roman"/>
          <w:sz w:val="20"/>
        </w:rPr>
        <w:t>The methodological implication is that the operational classifier's cosine cut should not be derived from a mixture-fit crossing. We accordingly anchor the operational cosine cut on the whole-sample Firm A P7.5 percentile (Section III-K), and treat the signature-level threshold-estimator outputs (KDE antimode, Beta and logit-Gaussian crossings) as descriptive characterisation of the similarity distribution rather than as the source of operational thresholds. The BD/McCrary procedure plays a density-smoothness diagnostic role in this framing rather than that of an independent threshold estimator.</w:t>
      </w:r>
    </w:p>
    <w:p>
      <w:pPr>
        <w:spacing w:after="120"/>
      </w:pPr>
      <w:r>
        <w:rPr>
          <w:rFonts w:ascii="Times New Roman" w:hAnsi="Times New Roman"/>
          <w:sz w:val="20"/>
        </w:rPr>
        <w:t>This continuous-spectrum finding also has substantive implications for downstream interpretation. Because pixel-level output quality varies continuously, signature-level rates (such as the 92.5% / 7.5% Firm A split) reflect the share of signatures whose similarity falls above or below a chosen threshold rather than the share that came from a "non-hand-signing mechanism" versus a "hand-signing mechanism." We accordingly report all rates as signature-level quantities and abstain from partner-level frequency claims (Section III-G).</w:t>
      </w:r>
    </w:p>
    <w:p>
      <w:pPr>
        <w:pStyle w:val="Heading2"/>
      </w:pPr>
      <w:r>
        <w:rPr>
          <w:color w:val="000000"/>
        </w:rPr>
        <w:t>C. Firm A as a Replication-Dominated, Not Pure, Population</w:t>
      </w:r>
    </w:p>
    <w:p>
      <w:pPr>
        <w:spacing w:after="120"/>
      </w:pPr>
      <w:r>
        <w:rPr>
          <w:rFonts w:ascii="Times New Roman" w:hAnsi="Times New Roman"/>
          <w:sz w:val="20"/>
        </w:rPr>
        <w:t>A recurring theme in prior work that treats Firm A or an analogous reference group as a calibration anchor is the implicit assumption that the anchor is a pure positive class. Our evidence across multiple analyses rules out that assumption for Firm A while affirming its utility as a calibration reference.</w:t>
      </w:r>
    </w:p>
    <w:p>
      <w:pPr>
        <w:spacing w:after="120"/>
      </w:pPr>
      <w:r>
        <w:rPr>
          <w:rFonts w:ascii="Times New Roman" w:hAnsi="Times New Roman"/>
          <w:sz w:val="20"/>
        </w:rPr>
        <w:t>Two convergent strands of evidence support the replication-dominated framing. First, the byte-level pair evidence: 145 Firm A signatures (from 50 distinct partners of 180 registered) have a byte-identical same-CPA match in a different audit report, with 35 of these matches spanning different fiscal years. Independent hand-signing cannot produce byte-identical images across distinct reports, so these pairs directly establish image reuse within Firm A as a concrete, threshold-free phenomenon, and the 50/180 partner spread shows that replication is widespread rather than confined to a handful of CPAs. Second, the signature-level distributional evidence: Firm A's per-signature cosine distribution is unimodal long-tail (Hartigan dip test $p = 0.17$) rather than a tight single peak; 92.5% of Firm A signatures exceed cosine 0.95, with the remaining 7.5% forming the left tail. The unimodal-long-tail shape, not the precise 92.5 / 7.5 split, is the structural evidence: it is consistent with a single dominant mechanism plus residual within-firm heterogeneity,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Two additional checks, reported in Section IV-G, are robust to threshold choice and complement the two primary strands: the held-out Firm A 70/30 validation (Section IV-F.2) gives capture rates on a non-calibration Firm A subset that sit in the same replication-dominated regime as the calibration fold across the full range of operating rules (extreme rules are statistically indistinguishable; operational rules in the 85--95% band differ between folds by 1--5 percentage points, reflecting within-Firm-A heterogeneity in replication intensity rather than a generalization failure), and the threshold-independent partner-ranking analysis (Section IV-G.2) shows that Firm A auditor-years occupy 95.9% of the top decile of similarity-ranked auditor-years against a 27.8% baseline share—a 3.5$\times$ concentration ratio that uses only ordinal ranking and is independent of any absolute cutoff.</w:t>
      </w:r>
    </w:p>
    <w:p>
      <w:pPr>
        <w:spacing w:after="120"/>
      </w:pPr>
      <w:r>
        <w:rPr>
          <w:rFonts w:ascii="Times New Roman" w:hAnsi="Times New Roman"/>
          <w:sz w:val="20"/>
        </w:rPr>
        <w:t>The replication-dominated framing is internally coherent with both pieces of evidence, and it predicts and explains the residuals that a "near-universal" framing would be forced to treat as noise. We therefore recommend that future work building on this calibration strategy should explicitly distinguish replication-dominated from replication-pure calibration anchors.</w:t>
      </w:r>
    </w:p>
    <w:p>
      <w:pPr>
        <w:pStyle w:val="Heading2"/>
      </w:pPr>
      <w:r>
        <w:rPr>
          <w:color w:val="000000"/>
        </w:rPr>
        <w:t>D. The Style-Replication Gap</w:t>
      </w:r>
    </w:p>
    <w:p>
      <w:pPr>
        <w:spacing w:after="120"/>
      </w:pPr>
      <w:r>
        <w:rPr>
          <w:rFonts w:ascii="Times New Roman" w:hAnsi="Times New Roman"/>
          <w:sz w:val="20"/>
        </w:rPr>
        <w:t>Within the 71,656 documents exceeding cosine $0.95$, the dHash descriptor partitions them into three distinct populations: 29,529 (41.2%) with high-confidence structural evidence of non-hand-signing, 36,994 (51.7%) with moderate structural similarity, and 5,133 (7.2%) with no structural corroboration despite near-identical feature-level appearance. A cosine-only classifier would treat all 71,656 documents identically; the dual-descriptor framework separates them into populations with fundamentally different interpretations.</w:t>
      </w:r>
    </w:p>
    <w:p>
      <w:pPr>
        <w:spacing w:after="120"/>
      </w:pPr>
      <w:r>
        <w:rPr>
          <w:rFonts w:ascii="Times New Roman" w:hAnsi="Times New Roman"/>
          <w:sz w:val="20"/>
        </w:rPr>
        <w:t>The 7.2% classified as "high style consistency" (cosine $&gt; 0.95$ but dHash $&gt; 15$) are particularly informative. Several plausible explanations may account for their high feature similarity without structural identity, though we lack direct evidence to confirm their relative contributions. Many accountants may develop highly consistent signing habits—using similar pen pressure, stroke order, and spatial layout—resulting in signatures that appear nearly identical at the semantic feature level while retaining the microscopic variations inherent to handwriting. Some may use signing pads or templates that further constrain variability without constituting image-level reproduction. The dual-descriptor framework correctly identifies these cases as distinct from non-hand-signed signatures by detecting the absence of structural-level convergence.</w:t>
      </w:r>
    </w:p>
    <w:p>
      <w:pPr>
        <w:pStyle w:val="Heading2"/>
      </w:pPr>
      <w:r>
        <w:rPr>
          <w:color w:val="000000"/>
        </w:rPr>
        <w:t>E. Value of a Replication-Dominated Calibration Group</w:t>
      </w:r>
    </w:p>
    <w:p>
      <w:pPr>
        <w:spacing w:after="120"/>
      </w:pPr>
      <w:r>
        <w:rPr>
          <w:rFonts w:ascii="Times New Roman" w:hAnsi="Times New Roman"/>
          <w:sz w:val="20"/>
        </w:rPr>
        <w:t>The use of Firm A as a calibration reference addresses a fundamental challenge in document forensics: the scarcity of ground truth labels. In most forensic applications, establishing ground truth requires expensive manual verification or access to privileged information about document provenance. Our approach leverages domain knowledge—the established prevalence of non-hand-signing at a specific firm—to create a naturally occurring reference population within the dataset.</w:t>
      </w:r>
    </w:p>
    <w:p>
      <w:pPr>
        <w:spacing w:after="120"/>
      </w:pPr>
      <w:r>
        <w:rPr>
          <w:rFonts w:ascii="Times New Roman" w:hAnsi="Times New Roman"/>
          <w:sz w:val="20"/>
        </w:rPr>
        <w:t>This calibration strategy has broader applicability beyond signature analysis. Any forensic detection system operating on real-world corpora can benefit from identifying subpopulations with known dominant characteristics (positive or negative) to anchor threshold selection, particularly when the distributions of interest are non-normal and non-parametric or mixture-based thresholds are preferred over parametric alternatives. The framing we adopt—replication-dominated rather than replication-pure—is an important refinement of this strategy: it prevents overclaim, accommodates the within-firm heterogeneity visible in the unimodal-long-tail shape of Firm A's per-signature cosine distribution, and yields classification rates that are internally consistent with the data.</w:t>
      </w:r>
    </w:p>
    <w:p>
      <w:pPr>
        <w:pStyle w:val="Heading2"/>
      </w:pPr>
      <w:r>
        <w:rPr>
          <w:color w:val="000000"/>
        </w:rPr>
        <w:t>F. Pixel-Identity and Inter-CPA Anchors as Annotation-Free Validation</w:t>
      </w:r>
    </w:p>
    <w:p>
      <w:pPr>
        <w:spacing w:after="120"/>
      </w:pPr>
      <w:r>
        <w:rPr>
          <w:rFonts w:ascii="Times New Roman" w:hAnsi="Times New Roman"/>
          <w:sz w:val="20"/>
        </w:rPr>
        <w:t>A further methodological contribution is the combination of byte-level pixel identity as an annotation-free conservative gold positive and a large random-inter-CPA negative anchor. Handwriting physics makes byte-identity impossible under independent signing events, so any pair of same-CPA signatures that are byte-identical after crop and normalization is pair-level proof of image reuse and, modulo the narrow source-template edge case discussed in the seventh limitation below, a conservative positive for non-hand-signing without requiring human review. In our corpus 310 signatures satisfied this condition. We emphasize that byte-identical pairs are a subset of the true non-hand-signed positive class—they capture only those whose nearest same-CPA match happens to be bytewise identical, excluding replications that are pixel-near-identical but not byte-identical (for example, under different scan or compression pathways). Perfect recall against this subset therefore does not generalize to perfect recall against the full non-hand-signed population; it is a lower-bound calibration check on the classifier's ability to catch the clearest positives rather than a generalizable recall estimate.</w:t>
      </w:r>
    </w:p>
    <w:p>
      <w:pPr>
        <w:spacing w:after="120"/>
      </w:pPr>
      <w:r>
        <w:rPr>
          <w:rFonts w:ascii="Times New Roman" w:hAnsi="Times New Roman"/>
          <w:sz w:val="20"/>
        </w:rPr>
        <w:t>Paired with the $\sim$50,000-pair inter-CPA negative anchor, the byte-identical positives yield FAR estimates with tight Wilson 95% confidence intervals (Table X), which is a substantive improvement over the low-similarity same-CPA negative ($n = 35$) we originally considered. The combination is a reusable pattern for other document-forensics settings in which the target mechanism leaves a byte-level physical signature in the artifact itself, provided that its generalization limits are acknowledged: FAR is informative, whereas recall is valid only for the conservative subset.</w:t>
      </w:r>
    </w:p>
    <w:p>
      <w:pPr>
        <w:pStyle w:val="Heading2"/>
      </w:pPr>
      <w:r>
        <w:rPr>
          <w:color w:val="000000"/>
        </w:rPr>
        <w:t>G. Limitations</w:t>
      </w:r>
    </w:p>
    <w:p>
      <w:pPr>
        <w:spacing w:after="120"/>
      </w:pPr>
      <w:r>
        <w:rPr>
          <w:rFonts w:ascii="Times New Roman" w:hAnsi="Times New Roman"/>
          <w:sz w:val="20"/>
        </w:rPr>
        <w:t>Several limitations should be acknowledged.</w:t>
      </w:r>
    </w:p>
    <w:p>
      <w:pPr>
        <w:spacing w:after="120"/>
      </w:pPr>
      <w:r>
        <w:rPr>
          <w:rFonts w:ascii="Times New Roman" w:hAnsi="Times New Roman"/>
          <w:sz w:val="20"/>
        </w:rPr>
        <w:t>First, comprehensive per-document ground truth labels are not available. The pixel-identity anchor is a strict subset of the true non-hand-signing positives (only those whose nearest same-CPA match happens to be byte-identical), so perfect recall against this anchor does not establish the classifier's recall on the broader positive class. The low-similarity same-CPA anchor ($n = 35$) is small because intra-CPA pairs rarely fall below cosine 0.70; we use the $\sim$50,000-pair inter-CPA negative anchor as the primary negative reference, which yields tight Wilson 95% CIs on FAR (Table X), but it too does not exhaust the set of true negatives (in particular, same-CPA hand-signed pairs with moderate cosine similarity are not sampled). A manual-adjudication study concentrated at the decision boundary—for example 100--300 auditor-years stratified by cosine band—would further strengthen the recall estimate against the full positive class.</w:t>
      </w:r>
    </w:p>
    <w:p>
      <w:pPr>
        <w:spacing w:after="120"/>
      </w:pPr>
      <w:r>
        <w:rPr>
          <w:rFonts w:ascii="Times New Roman" w:hAnsi="Times New Roman"/>
          <w:sz w:val="20"/>
        </w:rPr>
        <w:t>Second, the ResNet-50 feature extractor was used with pre-trained ImageNet weights without domain-specific fine-tuning. While our ablation study and prior literature [20]--[22] support the effectiveness of transferred ImageNet features for signature comparison, a signature-specific feature extractor could improve discriminative performance.</w:t>
      </w:r>
    </w:p>
    <w:p>
      <w:pPr>
        <w:spacing w:after="120"/>
      </w:pPr>
      <w:r>
        <w:rPr>
          <w:rFonts w:ascii="Times New Roman" w:hAnsi="Times New Roman"/>
          <w:sz w:val="20"/>
        </w:rPr>
        <w:t>Third, the red stamp removal preprocessing uses simple HSV color-space filtering, which may introduce artifacts where handwritten strokes overlap with red seal impressions. In these overlap regions, blended pixels are replaced with white, potentially creating small gaps in the signature strokes that could reduce dHash similarity. This effect would bias classification toward false negatives rather than false positives, but the magnitude has not been quantified.</w:t>
      </w:r>
    </w:p>
    <w:p>
      <w:pPr>
        <w:spacing w:after="120"/>
      </w:pPr>
      <w:r>
        <w:rPr>
          <w:rFonts w:ascii="Times New Roman" w:hAnsi="Times New Roman"/>
          <w:sz w:val="20"/>
        </w:rPr>
        <w:t>Fourth, scanning equipment, PDF generation software, and compression algorithms may have changed over the 10-year study period (2013--2023), potentially affecting similarity measurements. While cosine similarity and dHash are designed to be robust to such variations, longitudinal confounds cannot be entirely excluded.</w:t>
      </w:r>
    </w:p>
    <w:p>
      <w:pPr>
        <w:spacing w:after="120"/>
      </w:pPr>
      <w:r>
        <w:rPr>
          <w:rFonts w:ascii="Times New Roman" w:hAnsi="Times New Roman"/>
          <w:sz w:val="20"/>
        </w:rPr>
        <w:t>Fifth, our cross-sectional analysis does not track individual CPAs longitudinally and therefore cannot confirm or rule out within-CPA mechanism transitions over the sample period (e.g., a CPA who hand-signed early in the sample and switched to firm-level e-signing later, or vice versa). Extending the analysis to auditor-year units—computing per-signature statistics within each fiscal year and observing how individual CPAs move across years—is the natural next step for resolving such within-CPA transitions and is left to future work.</w:t>
      </w:r>
    </w:p>
    <w:p>
      <w:pPr>
        <w:spacing w:after="120"/>
      </w:pPr>
      <w:r>
        <w:rPr>
          <w:rFonts w:ascii="Times New Roman" w:hAnsi="Times New Roman"/>
          <w:sz w:val="20"/>
        </w:rPr>
        <w:t>Sixth, the max/min detection logic treats both ends of a near-identical same-CPA pair as non-hand-signed. In the rare case that one of the two documents contains a genuinely hand-signed exemplar that was subsequently reused as the stamping or e-signature template, the pair correctly identifies image reuse but misattributes the non-hand-signed status to the source exemplar. This misattribution affects at most one source document per template variant per CPA (the exemplar from which the template was produced), is not expected to be common given that stored signature templates are typically generated in a separate acquisition step rather than extracted from submitted audit reports, and does not materially affect aggregate capture rates at the firm level.</w:t>
      </w:r>
    </w:p>
    <w:p>
      <w:pPr>
        <w:spacing w:after="120"/>
      </w:pPr>
      <w:r>
        <w:rPr>
          <w:rFonts w:ascii="Times New Roman" w:hAnsi="Times New Roman"/>
          <w:sz w:val="20"/>
        </w:rPr>
        <w:t>Seventh, our analyses remain at the signature level; we abstain from partner-level frequency inferences such as "X% of CPAs hand-sign in a given year." Per-signature labels in this paper are not translated to per-report or per-partner mechanism assignments, because making such a translation would require an assumption of within-year uniformity of signing mechanisms that we do not adopt: a CPA's signatures within a single fiscal year may reflect a single replication template, multiple templates used in parallel (e.g., for different engagement positions or reporting pipelines), within-year mechanism mixing, or a combination, and the data at hand do not disambiguate these possibilities (Section III-G). The signature-level rates we report, including the 92.5% / 7.5% Firm A split and the year-by-year left-tail share of Section IV-G.1, should accordingly be read as signature-level quantities rather than partner-level frequencies.</w:t>
      </w:r>
    </w:p>
    <w:p>
      <w:pPr>
        <w:spacing w:after="120"/>
      </w:pPr>
      <w:r>
        <w:rPr>
          <w:rFonts w:ascii="Times New Roman" w:hAnsi="Times New Roman"/>
          <w:sz w:val="20"/>
        </w:rPr>
        <w:t>Finally, the legal and regulatory implications of our findings depend on jurisdictional definitions of "signature" and "signing." Whether non-hand-signing of a CPA's own stored signature constitutes a violation of signing requirements is a legal question that our technical analysis can inform but cannot resolve.</w:t>
      </w:r>
    </w:p>
    <w:p>
      <w:pPr>
        <w:pStyle w:val="Heading1"/>
      </w:pPr>
      <w:r>
        <w:rPr>
          <w:color w:val="000000"/>
        </w:rPr>
        <w:t>VI. Conclusion and Future Work</w:t>
      </w:r>
    </w:p>
    <w:p>
      <w:pPr>
        <w:pStyle w:val="Heading2"/>
      </w:pPr>
      <w:r>
        <w:rPr>
          <w:color w:val="000000"/>
        </w:rPr>
        <w:t>Conclusion</w:t>
      </w:r>
    </w:p>
    <w:p>
      <w:pPr>
        <w:spacing w:after="120"/>
      </w:pPr>
      <w:r>
        <w:rPr>
          <w:rFonts w:ascii="Times New Roman" w:hAnsi="Times New Roman"/>
          <w:sz w:val="20"/>
        </w:rPr>
        <w:t>We have presented an end-to-end AI pipeline for detecting non-hand-signed auditor signatures in financial audit reports at scale. Applied to 90,282 audit reports from Taiwanese publicly listed companies spanning 2013--2023, our system extracted and analyzed 182,328 CPA signatures using a combination of VLM-based page identification, YOLO-based signature detection, deep feature extraction, and dual-descriptor similarity verification, with the operational classifier's cosine cut anchored on a whole-sample Firm A percentile heuristic and the per-signature similarity distribution characterised through two threshold estimators and a density-smoothness diagnostic.</w:t>
      </w:r>
    </w:p>
    <w:p>
      <w:pPr>
        <w:spacing w:after="120"/>
      </w:pPr>
      <w:r>
        <w:rPr>
          <w:rFonts w:ascii="Times New Roman" w:hAnsi="Times New Roman"/>
          <w:sz w:val="20"/>
        </w:rPr>
        <w:t>The seven numbered contributions listed in Section I can be grouped into four broader methodological themes, summarized below.</w:t>
      </w:r>
    </w:p>
    <w:p>
      <w:pPr>
        <w:spacing w:after="120"/>
      </w:pPr>
      <w:r>
        <w:rPr>
          <w:rFonts w:ascii="Times New Roman" w:hAnsi="Times New Roman"/>
          <w:sz w:val="20"/>
        </w:rPr>
        <w:t>First, we argued that non-hand-signing detection is a distinct problem from signature forgery detection, requiring analytical tools focused on the upper tail of intra-signer similarity rather than inter-signer discriminability.</w:t>
      </w:r>
    </w:p>
    <w:p>
      <w:pPr>
        <w:spacing w:after="120"/>
      </w:pPr>
      <w:r>
        <w:rPr>
          <w:rFonts w:ascii="Times New Roman" w:hAnsi="Times New Roman"/>
          <w:sz w:val="20"/>
        </w:rPr>
        <w:t>Second, we showed that combining cosine similarity of deep embeddings with difference hashing is essential for meaningful classification—among 71,656 documents with high feature-level similarity, the dual-descriptor framework revealed that only 41% exhibit converging structural evidence of non-hand-signing while 7% show no structural corroboration despite near-identical feature-level appearance, demonstrating that a single-descriptor approach conflates style consistency with image reproduction.</w:t>
      </w:r>
    </w:p>
    <w:p>
      <w:pPr>
        <w:spacing w:after="120"/>
      </w:pPr>
      <w:r>
        <w:rPr>
          <w:rFonts w:ascii="Times New Roman" w:hAnsi="Times New Roman"/>
          <w:sz w:val="20"/>
        </w:rPr>
        <w:t>Third, we characterised the per-signature similarity distribution using three diagnostics—a Hartigan dip test, an EM-fitted Beta mixture (with logit-Gaussian robustness check), and a Burgstahler-Dichev / McCrary density-smoothness procedure—and showed that no two-mechanism mixture cleanly explains it: the dip test fails to reject unimodality for Firm A ($p = 0.17$), BIC strongly prefers a 3-component over a 2-component Beta fit ($\Delta\text{BIC} = 381$ for Firm A), and the BD/McCrary candidate transition lies inside the non-hand-signed mode rather than between modes (and is not bin-width-stable; Appendix A). The substantive reading is that pixel-level output quality is a continuous spectrum produced by firm-specific reproduction technologies (administrative stamping in early years, firm-level e-signing later) and scan conditions, rather than a discrete class cleanly separated from hand-signing. This reading motivates anchoring the operational classifier's cosine cut on a whole-sample Firm A P7.5 percentile heuristic (cos $&gt; 0.95$) rather than on a mixture-fit crossing.</w:t>
      </w:r>
    </w:p>
    <w:p>
      <w:pPr>
        <w:spacing w:after="120"/>
      </w:pPr>
      <w:r>
        <w:rPr>
          <w:rFonts w:ascii="Times New Roman" w:hAnsi="Times New Roman"/>
          <w:sz w:val="20"/>
        </w:rPr>
        <w:t>Fourth, we introduced a replication-dominated calibration methodology—explicitly distinguishing replication-dominated from replication-pure calibration anchors and validating classification against a byte-level pixel-identity anchor (310 byte-identical signatures) paired with a $\sim$50,000-pair inter-CPA negative anchor. To document the within-firm sampling variance of using the calibration firm as its own validation reference, we split the firm's CPAs 70/30 at the CPA level and report capture rates on both folds with Wilson 95% confidence intervals; extreme rules agree across folds while rules in the operational 85--95% capture band differ by 1--5 percentage points, reflecting within-firm heterogeneity in replication intensity rather than generalization failure. This framing is internally consistent with the available evidence: the byte-level pair analysis finding of 145 pixel-identical calibration-firm signatures across 50 distinct partners of 180 registered (Section IV-F.1); the 92.5% / 7.5% split in signature-level cosine thresholds and the dip-test-confirmed unimodal-long-tail shape of Firm A's per-signature cosine distribution (Section IV-D.1); and the 95.9% top-decile concentration of Firm A auditor-years in the threshold-independent partner-ranking analysis (Section IV-G.2).</w:t>
      </w:r>
    </w:p>
    <w:p>
      <w:pPr>
        <w:spacing w:after="120"/>
      </w:pPr>
      <w:r>
        <w:rPr>
          <w:rFonts w:ascii="Times New Roman" w:hAnsi="Times New Roman"/>
          <w:sz w:val="20"/>
        </w:rPr>
        <w:t>An ablation study comparing ResNet-50, VGG-16 and EfficientNet-B0 confirmed that ResNet-50 offers the best balance of discriminative power, classification stability, and computational efficiency for this task.</w:t>
      </w:r>
    </w:p>
    <w:p>
      <w:pPr>
        <w:pStyle w:val="Heading2"/>
      </w:pPr>
      <w:r>
        <w:rPr>
          <w:color w:val="000000"/>
        </w:rPr>
        <w:t>Future Work</w:t>
      </w:r>
    </w:p>
    <w:p>
      <w:pPr>
        <w:spacing w:after="120"/>
      </w:pPr>
      <w:r>
        <w:rPr>
          <w:rFonts w:ascii="Times New Roman" w:hAnsi="Times New Roman"/>
          <w:sz w:val="20"/>
        </w:rPr>
        <w:t>Several directions merit further investigation. Domain-adapted feature extractors, trained or fine-tuned on signature-specific datasets, may improve discriminative performance beyond the transferred ImageNet features used in this study. Extending the analysis to auditor-year units—computing per-signature statistics within each fiscal year and tracking how individual CPAs move across years—could reveal within-CPA transitions between hand-signing and non-hand-signing over the decade and is the natural next step beyond the cross-sectional analysis reported here. The pipeline's applicability to other jurisdictions and document types (e.g., corporate filings in other countries, legal documents, medical records) warrants exploration. The replication-dominated calibration strategy and the pixel-identity anchor technique are both directly generalizable to settings in which (i) a reference subpopulation has a known dominant mechanism and (ii) the target mechanism leaves a byte-level signature in the artifact itself. Finally, integration with regulatory monitoring systems and a larger negative-anchor study—for example drawing from inter-CPA pairs under explicit accountant-level blocking—would strengthen the practical deployment potential of this approach.</w:t>
      </w:r>
    </w:p>
    <w:p>
      <w:pPr>
        <w:pStyle w:val="Heading1"/>
      </w:pPr>
      <w:r>
        <w:rPr>
          <w:color w:val="000000"/>
        </w:rPr>
        <w:t>Appendix A. BD/McCrary Bin-Width Sensitivity (Signature Level)</w:t>
      </w:r>
    </w:p>
    <w:p>
      <w:pPr>
        <w:spacing w:after="120"/>
      </w:pPr>
      <w:r>
        <w:rPr>
          <w:rFonts w:ascii="Times New Roman" w:hAnsi="Times New Roman"/>
          <w:sz w:val="20"/>
        </w:rPr>
        <w:t>The main text (Section III-I, Section IV-D.2) treats the Burgstahler-Dichev / McCrary discontinuity procedure [38], [39] as a density-smoothness diagnostic rather than as a threshold estimator. This appendix documents the empirical basis for that framing by sweeping the bin width across four (variant, bin-width) panels: Firm A and full-sample, each in the cosine and $\text{dHash}_\text{indep}$ direction.</w:t>
      </w:r>
    </w:p>
    <w:p>
      <w:pPr>
        <w:spacing w:after="120"/>
      </w:pPr>
      <w:r>
        <w:rPr>
          <w:rFonts w:ascii="Times New Roman" w:hAnsi="Times New Roman"/>
          <w:sz w:val="20"/>
        </w:rPr>
        <w:t>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$Z$ statistics also inflate superlinearly with the bin width (Firm A cosine $|Z|$ rises from $\sim 9$ at bin 0.003 to $\sim 106$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sz w:val="20"/>
        </w:rPr>
        <w:t>Second, the candidate transitions all locate inside the non-hand-signed mode (cosine $\geq 0.975$, dHash $\leq 10$) rather than between modes, which is the location pattern we would expect of a clean two-mechanism boundary.</w:t>
      </w:r>
    </w:p>
    <w:p>
      <w:pPr>
        <w:spacing w:after="120"/>
      </w:pPr>
      <w:r>
        <w:rPr>
          <w:rFonts w:ascii="Times New Roman" w:hAnsi="Times New Roman"/>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per-signature similarity does not form a clean two-mechanism mixture.</w:t>
      </w:r>
    </w:p>
    <w:p>
      <w:pPr>
        <w:spacing w:after="120"/>
      </w:pPr>
      <w:r>
        <w:rPr>
          <w:rFonts w:ascii="Times New Roman" w:hAnsi="Times New Roman"/>
          <w:sz w:val="20"/>
        </w:rPr>
        <w:t>Raw per-bin $Z$ sequences and $p$-values for every (variant, bin-width) panel are available in the supplementary materials.</w:t>
      </w:r>
    </w:p>
    <w:p>
      <w:pPr>
        <w:pStyle w:val="Heading1"/>
      </w:pPr>
      <w:r>
        <w:rPr>
          <w:color w:val="000000"/>
        </w:rPr>
        <w:t>Declarations</w:t>
      </w:r>
    </w:p>
    <w:p>
      <w:pPr>
        <w:spacing w:after="120"/>
      </w:pPr>
      <w:r>
        <w:rPr>
          <w:rFonts w:ascii="Times New Roman" w:hAnsi="Times New Roman"/>
          <w:sz w:val="20"/>
        </w:rPr>
        <w:t>Conflict of interest. The authors declare no conflict of interest with Firm A, Firm B, Firm C, or Firm D, or with any other entity referenced in this work.</w:t>
      </w:r>
    </w:p>
    <w:p>
      <w:pPr>
        <w:spacing w:after="120"/>
      </w:pPr>
      <w:r>
        <w:rPr>
          <w:rFonts w:ascii="Times New Roman" w:hAnsi="Times New Roman"/>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spacing w:after="120"/>
      </w:pPr>
      <w:r>
        <w:rPr>
          <w:rFonts w:ascii="Times New Roman" w:hAnsi="Times New Roman"/>
          <w:sz w:val="20"/>
        </w:rPr>
        <w:t>Funding. [To be filled in before submission.]</w:t>
      </w:r>
    </w:p>
    <w:p>
      <w:pPr>
        <w:pStyle w:val="Heading1"/>
      </w:pPr>
      <w:r>
        <w:rPr>
          <w:color w:val="000000"/>
        </w:rPr>
        <w:t>References</w:t>
      </w:r>
    </w:p>
    <w:p>
      <w:pPr>
        <w:spacing w:after="120"/>
      </w:pPr>
      <w:r>
        <w:rPr>
          <w:rFonts w:ascii="Times New Roman" w:hAnsi="Times New Roman"/>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sz w:val="20"/>
        </w:rPr>
        <w:t>[2] S.-H. Yen, Y.-S. Chang, and H.-L. Chen, "Does the signature of a CPA matter? Evidence from Taiwan," Res. Account. Regul., vol. 25, no. 2, pp. 230–235, 2013.</w:t>
      </w:r>
    </w:p>
    <w:p>
      <w:pPr>
        <w:spacing w:after="120"/>
      </w:pPr>
      <w:r>
        <w:rPr>
          <w:rFonts w:ascii="Times New Roman" w:hAnsi="Times New Roman"/>
          <w:sz w:val="20"/>
        </w:rPr>
        <w:t>[3] J. Bromley et al., "Signature verification using a Siamese time delay neural network," in Proc. NeurIPS, 1993.</w:t>
      </w:r>
    </w:p>
    <w:p>
      <w:pPr>
        <w:spacing w:after="120"/>
      </w:pPr>
      <w:r>
        <w:rPr>
          <w:rFonts w:ascii="Times New Roman" w:hAnsi="Times New Roman"/>
          <w:sz w:val="20"/>
        </w:rPr>
        <w:t>[4] S. Dey et al., "SigNet: Convolutional Siamese network for writer independent offline signature verification," arXiv:1707.02131, 2017.</w:t>
      </w:r>
    </w:p>
    <w:p>
      <w:pPr>
        <w:spacing w:after="120"/>
      </w:pPr>
      <w:r>
        <w:rPr>
          <w:rFonts w:ascii="Times New Roman" w:hAnsi="Times New Roman"/>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sz w:val="20"/>
        </w:rPr>
        <w:t>[6] H. Li et al., "TransOSV: Offline signature verification with transformers," Pattern Recognit., vol. 145, p. 109882, 2024.</w:t>
      </w:r>
    </w:p>
    <w:p>
      <w:pPr>
        <w:spacing w:after="120"/>
      </w:pPr>
      <w:r>
        <w:rPr>
          <w:rFonts w:ascii="Times New Roman" w:hAnsi="Times New Roman"/>
          <w:sz w:val="20"/>
        </w:rPr>
        <w:t>[7] S. Tehsin et al., "Enhancing signature verification using triplet Siamese similarity networks in digital documents," Mathematics, vol. 12, no. 17, p. 2757, 2024.</w:t>
      </w:r>
    </w:p>
    <w:p>
      <w:pPr>
        <w:spacing w:after="120"/>
      </w:pPr>
      <w:r>
        <w:rPr>
          <w:rFonts w:ascii="Times New Roman" w:hAnsi="Times New Roman"/>
          <w:sz w:val="20"/>
        </w:rPr>
        <w:t>[8] P. Brimoh and C. C. Olisah, "Consensus-threshold criterion for offline signature verification using CNN learned representations," arXiv:2401.03085, 2024.</w:t>
      </w:r>
    </w:p>
    <w:p>
      <w:pPr>
        <w:spacing w:after="120"/>
      </w:pPr>
      <w:r>
        <w:rPr>
          <w:rFonts w:ascii="Times New Roman" w:hAnsi="Times New Roman"/>
          <w:sz w:val="20"/>
        </w:rPr>
        <w:t>[9] N. Woodruff et al., "Fully-automatic pipeline for document signature analysis to detect money laundering activities," arXiv:2107.14091, 2021.</w:t>
      </w:r>
    </w:p>
    <w:p>
      <w:pPr>
        <w:spacing w:after="120"/>
      </w:pPr>
      <w:r>
        <w:rPr>
          <w:rFonts w:ascii="Times New Roman" w:hAnsi="Times New Roman"/>
          <w:sz w:val="20"/>
        </w:rPr>
        <w:t>[10] S. Abramova and R. Böhme, "Detecting copy-move forgeries in scanned text documents," in Proc. Electronic Imaging, 2016.</w:t>
      </w:r>
    </w:p>
    <w:p>
      <w:pPr>
        <w:spacing w:after="120"/>
      </w:pPr>
      <w:r>
        <w:rPr>
          <w:rFonts w:ascii="Times New Roman" w:hAnsi="Times New Roman"/>
          <w:sz w:val="20"/>
        </w:rPr>
        <w:t>[11] Y. Li et al., "Copy-move forgery detection in digital image forensics: A survey," Multimedia Tools Appl., 2024.</w:t>
      </w:r>
    </w:p>
    <w:p>
      <w:pPr>
        <w:spacing w:after="120"/>
      </w:pPr>
      <w:r>
        <w:rPr>
          <w:rFonts w:ascii="Times New Roman" w:hAnsi="Times New Roman"/>
          <w:sz w:val="20"/>
        </w:rPr>
        <w:t>[12] Y. Jakhar and M. D. Borah, "Effective near-duplicate image detection using perceptual hashing and deep learning," Inf. Process. Manage., p. 104086, 2025.</w:t>
      </w:r>
    </w:p>
    <w:p>
      <w:pPr>
        <w:spacing w:after="120"/>
      </w:pPr>
      <w:r>
        <w:rPr>
          <w:rFonts w:ascii="Times New Roman" w:hAnsi="Times New Roman"/>
          <w:sz w:val="20"/>
        </w:rPr>
        <w:t>[13] E. Pizzi et al., "A self-supervised descriptor for image copy detection," in Proc. CVPR, 2022.</w:t>
      </w:r>
    </w:p>
    <w:p>
      <w:pPr>
        <w:spacing w:after="120"/>
      </w:pPr>
      <w:r>
        <w:rPr>
          <w:rFonts w:ascii="Times New Roman" w:hAnsi="Times New Roman"/>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sz w:val="20"/>
        </w:rPr>
        <w:t>[17] H. Farid, "Image forgery detection," IEEE Signal Process. Mag., vol. 26, no. 2, pp. 16–25, 2009.</w:t>
      </w:r>
    </w:p>
    <w:p>
      <w:pPr>
        <w:spacing w:after="120"/>
      </w:pPr>
      <w:r>
        <w:rPr>
          <w:rFonts w:ascii="Times New Roman" w:hAnsi="Times New Roman"/>
          <w:sz w:val="20"/>
        </w:rPr>
        <w:t>[18] F. Z. Mehrjardi, A. M. Latif, M. S. Zarchi, and R. Sheikhpour, "A survey on deep learning-based image forgery detection," Pattern Recognit., vol. 144, art. no. 109778, 2023.</w:t>
      </w:r>
    </w:p>
    <w:p>
      <w:pPr>
        <w:spacing w:after="120"/>
      </w:pPr>
      <w:r>
        <w:rPr>
          <w:rFonts w:ascii="Times New Roman" w:hAnsi="Times New Roman"/>
          <w:sz w:val="20"/>
        </w:rPr>
        <w:t>[19] J. Luo et al., "A survey of perceptual hashing for multimedia," ACM Trans. Multimedia Comput. Commun. Appl., vol. 21, no. 7, 2025.</w:t>
      </w:r>
    </w:p>
    <w:p>
      <w:pPr>
        <w:spacing w:after="120"/>
      </w:pPr>
      <w:r>
        <w:rPr>
          <w:rFonts w:ascii="Times New Roman" w:hAnsi="Times New Roman"/>
          <w:sz w:val="20"/>
        </w:rPr>
        <w:t>[20] D. Engin et al., "Offline signature verification on real-world documents," in Proc. CVPRW, 2020.</w:t>
      </w:r>
    </w:p>
    <w:p>
      <w:pPr>
        <w:spacing w:after="120"/>
      </w:pPr>
      <w:r>
        <w:rPr>
          <w:rFonts w:ascii="Times New Roman" w:hAnsi="Times New Roman"/>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sz w:val="20"/>
        </w:rPr>
        <w:t>[23] A. Babenko, A. Slesarev, A. Chigorin, and V. Lempitsky, "Neural codes for image retrieval," in Proc. ECCV, 2014, pp. 584–599.</w:t>
      </w:r>
    </w:p>
    <w:p>
      <w:pPr>
        <w:spacing w:after="120"/>
      </w:pPr>
      <w:r>
        <w:rPr>
          <w:rFonts w:ascii="Times New Roman" w:hAnsi="Times New Roman"/>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sz w:val="20"/>
        </w:rPr>
        <w:t>[25] Ultralytics, "YOLO11 documentation," 2024. [Online]. Available: https://docs.ultralytics.com/models/yolo11/</w:t>
      </w:r>
    </w:p>
    <w:p>
      <w:pPr>
        <w:spacing w:after="120"/>
      </w:pPr>
      <w:r>
        <w:rPr>
          <w:rFonts w:ascii="Times New Roman" w:hAnsi="Times New Roman"/>
          <w:sz w:val="20"/>
        </w:rPr>
        <w:t>[26] K. He, X. Zhang, S. Ren, and J. Sun, "Deep residual learning for image recognition," in Proc. CVPR, 2016.</w:t>
      </w:r>
    </w:p>
    <w:p>
      <w:pPr>
        <w:spacing w:after="120"/>
      </w:pPr>
      <w:r>
        <w:rPr>
          <w:rFonts w:ascii="Times New Roman" w:hAnsi="Times New Roman"/>
          <w:sz w:val="20"/>
        </w:rPr>
        <w:t>[27] N. Krawetz, "Kind of like that," The Hacker Factor Blog, 2013. [Online]. Available: https://www.hackerfactor.com/blog/index.php?/archives/529-Kind-of-Like-That.html</w:t>
      </w:r>
    </w:p>
    <w:p>
      <w:pPr>
        <w:spacing w:after="120"/>
      </w:pPr>
      <w:r>
        <w:rPr>
          <w:rFonts w:ascii="Times New Roman" w:hAnsi="Times New Roman"/>
          <w:sz w:val="20"/>
        </w:rPr>
        <w:t>[28] B. W. Silverman, Density Estimation for Statistics and Data Analysis. London: Chapman &amp; Hall, 1986.</w:t>
      </w:r>
    </w:p>
    <w:p>
      <w:pPr>
        <w:spacing w:after="120"/>
      </w:pPr>
      <w:r>
        <w:rPr>
          <w:rFonts w:ascii="Times New Roman" w:hAnsi="Times New Roman"/>
          <w:sz w:val="20"/>
        </w:rPr>
        <w:t>[29] J. Cohen, Statistical Power Analysis for the Behavioral Sciences, 2nd ed. Hillsdale, NJ: Lawrence Erlbaum, 1988.</w:t>
      </w:r>
    </w:p>
    <w:p>
      <w:pPr>
        <w:spacing w:after="120"/>
      </w:pPr>
      <w:r>
        <w:rPr>
          <w:rFonts w:ascii="Times New Roman" w:hAnsi="Times New Roman"/>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sz w:val="20"/>
        </w:rPr>
        <w:t>[34] J. Redmon, S. Divvala, R. Girshick, and A. Farhadi, "You only look once: Unified, real-time object detection," in Proc. CVPR, 2016, pp. 779–788.</w:t>
      </w:r>
    </w:p>
    <w:p>
      <w:pPr>
        <w:spacing w:after="120"/>
      </w:pPr>
      <w:r>
        <w:rPr>
          <w:rFonts w:ascii="Times New Roman" w:hAnsi="Times New Roman"/>
          <w:sz w:val="20"/>
        </w:rPr>
        <w:t>[35] J. Zhang, J. Huang, S. Jin, and S. Lu, "Vision-language models for vision tasks: A survey," IEEE Trans. Pattern Anal. Mach. Intell., vol. 46, no. 8, pp. 5625–5644, 2024.</w:t>
      </w:r>
    </w:p>
    <w:p>
      <w:pPr>
        <w:spacing w:after="120"/>
      </w:pPr>
      <w:r>
        <w:rPr>
          <w:rFonts w:ascii="Times New Roman" w:hAnsi="Times New Roman"/>
          <w:sz w:val="20"/>
        </w:rPr>
        <w:t>[36] H. B. Mann and D. R. Whitney, "On a test of whether one of two random variables is stochastically larger than the other," Ann. Math. Statist., vol. 18, no. 1, pp. 50–60, 1947.</w:t>
      </w:r>
    </w:p>
    <w:p>
      <w:pPr>
        <w:spacing w:after="120"/>
      </w:pPr>
      <w:r>
        <w:rPr>
          <w:rFonts w:ascii="Times New Roman" w:hAnsi="Times New Roman"/>
          <w:sz w:val="20"/>
        </w:rPr>
        <w:t>[37] J. A. Hartigan and P. M. Hartigan, "The dip test of unimodality," Ann. Statist., vol. 13, no. 1, pp. 70–84, 1985.</w:t>
      </w:r>
    </w:p>
    <w:p>
      <w:pPr>
        <w:spacing w:after="120"/>
      </w:pPr>
      <w:r>
        <w:rPr>
          <w:rFonts w:ascii="Times New Roman" w:hAnsi="Times New Roman"/>
          <w:sz w:val="20"/>
        </w:rPr>
        <w:t>[38] D. Burgstahler and I. Dichev, "Earnings management to avoid earnings decreases and losses," J. Account. Econ., vol. 24, no. 1, pp. 99–126, 1997.</w:t>
      </w:r>
    </w:p>
    <w:p>
      <w:pPr>
        <w:spacing w:after="120"/>
      </w:pPr>
      <w:r>
        <w:rPr>
          <w:rFonts w:ascii="Times New Roman" w:hAnsi="Times New Roman"/>
          <w:sz w:val="20"/>
        </w:rPr>
        <w:t>[39] J. McCrary, "Manipulation of the running variable in the regression discontinuity design: A density test," J. Econometrics, vol. 142, no. 2, pp. 698–714, 2008.</w:t>
      </w:r>
    </w:p>
    <w:p>
      <w:pPr>
        <w:spacing w:after="120"/>
      </w:pPr>
      <w:r>
        <w:rPr>
          <w:rFonts w:ascii="Times New Roman" w:hAnsi="Times New Roman"/>
          <w:sz w:val="20"/>
        </w:rPr>
        <w:t>[40] A. P. Dempster, N. M. Laird, and D. B. Rubin, "Maximum likelihood from incomplete data via the EM algorithm," J. R. Statist. Soc. B, vol. 39, no. 1, pp. 1–38, 1977.</w:t>
      </w:r>
    </w:p>
    <w:p>
      <w:pPr>
        <w:spacing w:after="120"/>
      </w:pPr>
      <w:r>
        <w:rPr>
          <w:rFonts w:ascii="Times New Roman" w:hAnsi="Times New Roman"/>
          <w:sz w:val="20"/>
        </w:rPr>
        <w:t>[41] H. White, "Maximum likelihood estimation of misspecified models," Econometrica, vol. 50, no. 1, pp. 1–25, 1982.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